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NICOLETA JOITA</w:t>
            </w:r>
          </w:p>
          <w:p w:rsidR="00C275A3" w:rsidRDefault="00A96AEC" w:rsidP="00C275A3">
            <w:pPr>
              <w:pStyle w:val="Hallgatokepzes"/>
            </w:pPr>
            <w:r>
              <w:t>Finance and Banking</w:t>
            </w:r>
            <w:r>
              <w:br/>
            </w:r>
            <w:r w:rsidR="00E77B23">
              <w:t>BA, 6.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Annamária Benyovszki</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Stress tests in the banks's risk management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conformity with the regulations of the Basel Committee on Banking Supervision (BSCB) every monetary institute has the obligation to perform stress tests on its credit portfolio to calculate capital requirements. This way they can protect their selves from less plausible, but significant loss causing events. In contrast with that, the banks do not have a best practice for the methodology of these stress tests. Firstly this study, based on previous research, tries to define the influencing factors of the non-performing loans, and after that based on a model banking system constructed from ten Romanian banks tests the effect of a less plausible, but severe macroeconomic scenario.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09429">
    <w:multiLevelType w:val="hybridMultilevel"/>
    <w:lvl w:ilvl="0" w:tplc="35812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09429">
    <w:abstractNumId w:val="21609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187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