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BÁNTÓ BÍBORKA</w:t>
            </w:r>
          </w:p>
          <w:p w:rsidR="00C275A3" w:rsidRDefault="00A96AEC" w:rsidP="00C275A3">
            <w:pPr>
              <w:pStyle w:val="Hallgatokepzes"/>
            </w:pPr>
            <w:r>
              <w:t>Nemzetközi kapcsolatok és európai tanulmányok</w:t>
            </w:r>
            <w:r>
              <w:br/>
            </w:r>
            <w:r w:rsidR="00E77B23">
              <w:t>BA, 2. félév</w:t>
            </w:r>
          </w:p>
          <w:p w:rsidR="00C265CE" w:rsidRPr="009E5FF1" w:rsidRDefault="00E77B23" w:rsidP="00C275A3">
            <w:pPr>
              <w:pStyle w:val="Hallgatokepzes"/>
              <w:rPr>
                <w:b/>
                <w:caps/>
              </w:rPr>
            </w:pPr>
            <w:r>
              <w:t>Sapientia-Erdélyi Magyar Tudományegyetem</w:t>
            </w:r>
            <w:r w:rsidR="00C275A3">
              <w:br/>
            </w:r>
            <w:r w:rsidR="00DB4822">
              <w:t>Természettudományi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drd. Székely Tünde</w:t>
            </w:r>
          </w:p>
          <w:p w:rsidR="00DB4822" w:rsidRDefault="00DB4822" w:rsidP="00E11062">
            <w:pPr>
              <w:pStyle w:val="Konzulensek"/>
            </w:pPr>
            <w:r w:rsidRPr="00DB4822">
              <w:t>gyakornok,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Finnország és Magyarország diákhitelrendszereinek közpolitikai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témájaként a diákhitel, mint kiegyenlítő társadalmi és gazdasági eszköz, közpolitikai elemzését választottam. A hallgatói hitelrendszer optimális modelljének kialakítása számos országban aktuális téma. Vannak országok, ahol ez már évek óta jól működő rendszernek bizonyult, viszont vannak olyan államok is, ahol jelen pillanatban is még a megfelelő modell kialakításán folyik a vita.</w:t>
      </w:r>
      <w:r>
        <w:rPr>
          <w:color w:val="000000"/>
          <w:sz w:val="24"/>
          <w:szCs w:val="24"/>
        </w:rPr>
        <w:br/>
        <w:t xml:space="preserve">Dolgozatom célja felvázolni a hallgatói hitelrendszer jelenlegi helyzetét Romániában, valamint ismertetni azt, hogy néhány országban hogyan működik a diákhitel rendszer gyakorlati alkalmazása.</w:t>
      </w:r>
      <w:r>
        <w:rPr>
          <w:color w:val="000000"/>
          <w:sz w:val="24"/>
          <w:szCs w:val="24"/>
        </w:rPr>
        <w:br/>
        <w:t xml:space="preserve">Kutatásom során különböző esettanulmányokat elemeztem különböző államok diákhitel rendszerére vonatkozóan. Ezen esettanulmányok segítségemre váltak abban, hogy javaslatokat fogalmazzak meg egy sikeresen működő hitelpolitikai rendszer kialakításában, amelynek kialakítására Romániában is lehetőség lenne, akár rövid távon is.</w:t>
      </w:r>
      <w:r>
        <w:rPr>
          <w:color w:val="000000"/>
          <w:sz w:val="24"/>
          <w:szCs w:val="24"/>
        </w:rPr>
        <w:br/>
        <w:t xml:space="preserve">Úgy gondolom, hogy ennek kialakítása fontos lenne, hiszen a hallgatói hitelrendszer célja többek között az, hogy a román állam hosszú távon is biztosítsa az általánosan hozzáférhető, tömeges és minőségi felsőoktatás fenntarthatóságának feltételeit a román gazdaság fejlesztése érdekében, valamint többek között ilyen feltételnek tartom a hallgatói hitelrendszer, mint működőképes kiegyenlítő társadalmi és gazdasági eszköz bevezetését is.</w:t>
      </w:r>
    </w:p>
    <w:p>
      <w:pPr>
        <w:pBdr/>
        <w:spacing w:before="240" w:after="240" w:line="240" w:lineRule="auto"/>
        <w:ind w:left="0" w:right="0"/>
        <w:jc w:val="left"/>
      </w:pPr>
      <w:r>
        <w:rPr>
          <w:color w:val="000000"/>
          <w:sz w:val="24"/>
          <w:szCs w:val="24"/>
        </w:rPr>
        <w:t xml:space="preserve">Kulcsszavak: felsőoktatás, diákhitel, optimális modell.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8564">
    <w:multiLevelType w:val="hybridMultilevel"/>
    <w:lvl w:ilvl="0" w:tplc="21681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8564">
    <w:abstractNumId w:val="30958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83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