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KINGA</w:t>
            </w:r>
          </w:p>
          <w:p w:rsidR="00C275A3" w:rsidRDefault="00A96AEC" w:rsidP="00C275A3">
            <w:pPr>
              <w:pStyle w:val="Hallgatokepzes"/>
            </w:pPr>
            <w:r>
              <w:t>Közpolitikák szociológiai megalapozása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Babes-Bolyai Tudományegyetem</w:t>
            </w:r>
            <w:r w:rsidR="00C275A3">
              <w:br/>
            </w:r>
            <w:r w:rsidR="00DB4822">
              <w:t>Magyar Szociológia és Szociális Munkásképző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István</w:t>
            </w:r>
          </w:p>
          <w:p w:rsidR="00DB4822" w:rsidRDefault="00DB4822" w:rsidP="00E11062">
            <w:pPr>
              <w:pStyle w:val="Konzulensek"/>
            </w:pPr>
            <w:r w:rsidRPr="00DB4822">
              <w:t>docens,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romániai munkaerőpiac alakulása (1991–2011 között) és jellemzői – a statisztikai adatok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munkaerőpiacon való elhelyezkedés komoly kihívást jelent az aktív életkorú lakosság számára. A ’90-es évek elejétől a volt szocialista országokban, az átalakulást követően a jövedelembiztonság megszűnt létezni a polgárok számára, a teljes foglalkoztatottság felszámolásának következtében. A munkanélküliség jelensége a rendszerváltást követően válik vita tárgyává a szociálpolitikai diskurzusokban és tűzik a megoldandó feladatok listájára.</w:t>
      </w:r>
      <w:r>
        <w:rPr>
          <w:color w:val="000000"/>
          <w:sz w:val="24"/>
          <w:szCs w:val="24"/>
        </w:rPr>
        <w:br/>
        <w:t xml:space="preserve">Egész Európában „munkanélküliség elleni” harc folyik, eltérő módszerekkel és eredményekkel országonként.</w:t>
      </w:r>
      <w:r>
        <w:rPr>
          <w:color w:val="000000"/>
          <w:sz w:val="24"/>
          <w:szCs w:val="24"/>
        </w:rPr>
        <w:br/>
        <w:t xml:space="preserve">Jelen tanulmány keretében az elmúlt két évtizedben a romániai, munkaerő-piaci mutatók értékének alakulását kívánom bemutatni, amelyre jelentős hatást gyakoroltak a gazdasági folyamatok. Illetve néhány olyan Nyugat-Európában alkalmazott megoldásra kívánok rámutatni, amelyek eredményesnek bizonyultak az adott ország területén, és amelyek kiindulópontként szolgálhatnak egy, az országunkra szabott gyakorlat kialakításában.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238577">
    <w:multiLevelType w:val="hybridMultilevel"/>
    <w:lvl w:ilvl="0" w:tplc="243010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238577">
    <w:abstractNumId w:val="262385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99417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