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EMESE VITA</w:t>
            </w:r>
          </w:p>
          <w:p w:rsidR="00C275A3" w:rsidRDefault="00A96AEC" w:rsidP="00C275A3">
            <w:pPr>
              <w:pStyle w:val="Hallgatokepzes"/>
            </w:pPr>
            <w:r>
              <w:t>sociology</w:t>
            </w:r>
            <w:r>
              <w:br/>
            </w:r>
            <w:r w:rsidR="00E77B23">
              <w:t>BA, 4. semester</w:t>
            </w:r>
          </w:p>
          <w:p w:rsidR="00C265CE" w:rsidRPr="009E5FF1" w:rsidRDefault="00E77B23" w:rsidP="00C275A3">
            <w:pPr>
              <w:pStyle w:val="Hallgatokepzes"/>
              <w:rPr>
                <w:b/>
                <w:caps/>
              </w:rPr>
            </w:pPr>
            <w:r>
              <w:t>Babeş-Bolyai University</w:t>
            </w:r>
            <w:r w:rsidR="00C275A3">
              <w:br/>
            </w:r>
            <w:r w:rsidR="00DB4822">
              <w:t>Faculty of Sociology and Social Work</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Dénes Kiss, PhD</w:t>
            </w:r>
          </w:p>
          <w:p w:rsidR="00DB4822" w:rsidRDefault="00DB4822" w:rsidP="00E11062">
            <w:pPr>
              <w:pStyle w:val="Konzulensek"/>
            </w:pPr>
            <w:r w:rsidRPr="00DB4822">
              <w:t>professor's assistant,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Internet and Facebook Usage Patterns among Hungarian Students in Cluj</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examines internet and Facebook usage patterns of students, in addition some aspects their behavior in this networks, like network building and maintenance, self-confidence gain, types of Internet usage and influential factors. The topic is actual: 99 percent of participants use the Internet every day for downloading films and music, listening radio, watching TV, paying bills, and 50 percent of them spend actively at least an hour on their Facebook profile. The participants overwhelmingly use Facebook to keep in touch with friends, to maintain their offline relationships, and to find out various types of information. Facebook’s surfaces also offer other options for self-presentation, self-promotion, and social capital accumulation, but in our case latter dimension didn’t seems to have more importance in “cyber behavior”.</w:t>
      </w:r>
    </w:p>
    <w:p>
      <w:pPr>
        <w:pBdr/>
        <w:spacing w:before="240" w:after="240" w:line="240" w:lineRule="auto"/>
        <w:ind w:left="0" w:right="0"/>
        <w:jc w:val="left"/>
      </w:pPr>
      <w:r>
        <w:rPr>
          <w:color w:val="000000"/>
          <w:sz w:val="24"/>
          <w:szCs w:val="24"/>
        </w:rPr>
        <w:t xml:space="preserve">So, various facilities are available for users, but their choice are influenced and determined by socio-economic factors, like parent’s education or financial status.</w:t>
      </w:r>
    </w:p>
    <w:p>
      <w:pPr>
        <w:pBdr/>
        <w:spacing w:before="240" w:after="240" w:line="240" w:lineRule="auto"/>
        <w:ind w:left="0" w:right="0"/>
        <w:jc w:val="left"/>
      </w:pPr>
      <w:r>
        <w:rPr>
          <w:color w:val="000000"/>
          <w:sz w:val="24"/>
          <w:szCs w:val="24"/>
        </w:rPr>
        <w:t xml:space="preserve">In the research we used the survey method; Hungarian students of the Babeş-Bolyai University were included in our sample frame.</w:t>
      </w:r>
    </w:p>
    <w:p>
      <w:pPr>
        <w:pBdr/>
        <w:spacing w:before="240" w:after="240" w:line="240" w:lineRule="auto"/>
        <w:ind w:left="0" w:right="0"/>
        <w:jc w:val="left"/>
      </w:pPr>
      <w:r>
        <w:rPr>
          <w:color w:val="000000"/>
          <w:sz w:val="24"/>
          <w:szCs w:val="24"/>
        </w:rPr>
        <w:t xml:space="preserve">Keywords: Facebook, Internet, social sites, self–confidence, self–representation, socio-economic determinants.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40265">
    <w:multiLevelType w:val="hybridMultilevel"/>
    <w:lvl w:ilvl="0" w:tplc="548031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40265">
    <w:abstractNumId w:val="4694026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574579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