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KHOSBAYAR BAYAR</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Takács-György Katalin Ph.D.</w:t>
            </w:r>
          </w:p>
          <w:p w:rsidR="00DB4822" w:rsidRDefault="00DB4822" w:rsidP="00E11062">
            <w:pPr>
              <w:pStyle w:val="Konzulensek"/>
            </w:pPr>
            <w:r w:rsidRPr="00DB4822">
              <w:t>Associate Professor, KRF GTK</w:t>
            </w:r>
          </w:p>
        </w:tc>
      </w:tr>
      <w:tr w:rsidR="00DB4822" w:rsidTr="00DB4822">
        <w:tc>
          <w:tcPr>
            <w:tcW w:w="9854" w:type="dxa"/>
          </w:tcPr>
          <w:p w:rsidR="00DB4822" w:rsidRPr="00DB4822" w:rsidRDefault="00DB4822" w:rsidP="004D7940">
            <w:pPr>
              <w:pStyle w:val="Konzulensek"/>
            </w:pPr>
            <w:r w:rsidRPr="00DB4822">
              <w:t>Zsolt Király Ph.D.</w:t>
            </w:r>
          </w:p>
          <w:p w:rsidR="00DB4822" w:rsidRDefault="00DB4822" w:rsidP="00E11062">
            <w:pPr>
              <w:pStyle w:val="Konzulensek"/>
            </w:pPr>
            <w:r w:rsidRPr="00DB4822">
              <w:t>College 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business activity of Turkish Airlines, rearding to the European Union Emissions Trading Scheme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2005 the European Union Emissions Trading Scheme (EU ETS) was launched that is a major pillar of the EU climate protection policy. After a long range preparation, the activity of all aircraft operators, civil air transport companies has become subject to the EU ETS.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framework of my thesis the business activity of Turkish Airlines is analyzed timely in view of the financial results and the regulation of emissions trading. Furthermore, those strategically important fields of activity are studied and analyzed where some changes in the circumstances of economy are expected to be happened, for example the regulation of carbon emissions quantitatively. However, the influence on the corporate development occurs by complexity because of the absence of competent knowledge on it.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influence of emissions allowances on the increase of unit costs will be calculated using all the available databases on Turkish Airlines (US GAAP and IFRS reports, air traffic winter/summer timetables, carbon emissions of the fleet, regulation of the emissions handling authority) focusing 49 destinations in the territory of European Economic Area based on the additive seasonality of passengers and cargo transports.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quote allocation system in Germany, Turkish Airlines is entitled the quantity of 1,054,382 tons carbon in 2012. The remaining quantity of 186,067 tons carbon may cost 5,582,022 Euros, equally with 3.85 percentage of the net profit in 2010. Consequently, additional charge of 5.3 Euros for economy class and 21.4 Euros for first class on the route from Istanbul to Amsterdam may be calculated depending on the class of comfortably.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 the European destinations with the top revenue are accessible from Istanbul branded by Turkish Airlines Globally Yours while the domestic ones from Ankara branded by AnadoluJet.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Turkish Airlines is aiming to retain its unbroken growth potential such way that it is devoted to survive the current crisis and also to find out the right way together the full service and low cost carriers helping on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46512">
    <w:multiLevelType w:val="hybridMultilevel"/>
    <w:lvl w:ilvl="0" w:tplc="17932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46512">
    <w:abstractNumId w:val="49546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4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