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ORBÁZI MELINDA</w:t>
            </w:r>
          </w:p>
          <w:p w:rsidR="00C275A3" w:rsidRDefault="00A96AEC" w:rsidP="00C275A3">
            <w:pPr>
              <w:pStyle w:val="Hallgatokepzes"/>
            </w:pPr>
            <w:r>
              <w:t>Francia Nyelv Irodalom és Kultúra MA 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Pálfy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kaland mint strukturáló egység Chrétien de Troyes Lancelot című regényében, illetve annak prózaváltozatában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célkitűzése a kaland mint strukturáló egység vizsgálata Chrétien de Troyes Lancelot című regényében, illetve annak prózaváltozatában. Kiindulópontunk R. Bezzola gondolatán alapszik, aki három kaland-típust különböztetett meg: az elszenvedett kalandot, az elfogadott kalandot, végül a keresett kalandot. Ennek alapján két kaland-tipológiát állítottunk fel, amelyek árnyaltabban alkalmazhatóak a két regényre. Mindehhez statisztikai módszert társítottunk: a kalandok elhelyezkedését és számbeli megoszlását vizsgáltuk az elbeszélés különböző fázisaiban.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Lancelot esetében azt tartottuk szem előtt, hogy a kaland mennyiben segíti a küldetés beteljesedését. Így fényt derült arra, hogy pozitív, illetve negatív kalandok uralják a cselekményt. Olyan kalandok jelenlétére is felfigyeltünk, melyek láthatóan arra szolgálnak, hogy betöltsék a cselekményben keletkezett esetleges űrt, s egyfajta viszonyítási pontként funkcionáljanak a többi kaland között. Ezek a sejtető, valamint az összetett kalandok. Ezen utóbbiak több fázisból állnak, míg ezen előbbiek mindig párban jelennek meg. A statisztikai módszer segítségével kimutattuk, hogy az elbeszélés második és harmadik fázisát többnyire hiány-kalandok alkotják. A kaland eszméje így a küldetésből a keresésbe hajlik 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prózaváltozat elemzése során egy másik tipológiát alkalmaztunk, amely a kalandok lehetőségként való megjelenésére teszi a hangsúlyt. Úgy véljük tehát, hogy egy olyan jelenségről van szó, amely biztosítja a kalandok állandó jelenlétét az elbeszélésben. Ennek bizonyítéka az, hogy a visszatekintő és az előremutató kalandok uralják a cselekményt. Annál is inkább, mivel azon kalandok, amelyek kapcsolatban vannak a szokással, mindig előremutató vagy visszatekintő kalandként jelennek meg, így akármikor lehetséges kalanddá válhatnak. Végül úgy gondoltuk, hogy a Pünkösd-jelenet részletesebb elemzése rávilágít a kaland egy újabb aspektus-változására, mégpedig arra, hogy az ugyanazon kalandon belüli ismétlődő cselekvések feltételezik a konkrét cél nélküli események későbbi megjelenését. Mindez tehát magában foglalja a hős bolyongását.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52020">
    <w:multiLevelType w:val="hybridMultilevel"/>
    <w:lvl w:ilvl="0" w:tplc="43703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52020">
    <w:abstractNumId w:val="50252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154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