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BAREITH TIBOR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Kövér György</w:t>
            </w:r>
          </w:p>
          <w:p w:rsidR="00DB4822" w:rsidRDefault="00DB4822" w:rsidP="00E11062">
            <w:pPr>
              <w:pStyle w:val="Konzulensek"/>
            </w:pPr>
            <w:r w:rsidRPr="00DB4822">
              <w:t>e. docens, KE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Polereczki Zsolt</w:t>
            </w:r>
          </w:p>
          <w:p w:rsidR="00DB4822" w:rsidRDefault="00DB4822" w:rsidP="00E11062">
            <w:pPr>
              <w:pStyle w:val="Konzulensek"/>
            </w:pPr>
            <w:r w:rsidRPr="00DB4822">
              <w:t>e. adjunktus, 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vállalatok piacorientációjának, valamint külső és belső környezetének hatása a pénzügyi eredményességre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Magyarországon a KKV szektor egy igen viharos átalakulási időszakot él meg, amelyben a tét a nyugati országokéhoz hasonló pozíciók elfoglalása, vagy a multinacionális cégek hatalmas erőfölényével szembeni teljes megadás. Számukra a piacorientált gondolkodás lehet képes eszközt szolgáltatni az egyre intenzívebbé váló piaci versenyben való túléléshez, amelyben kulcskérdéssé válik a fogyasztó véleményének megértése, és beépítése a vállalat folyamataiba.</w:t>
      </w:r>
      <w:r>
        <w:rPr>
          <w:color w:val="000000"/>
          <w:sz w:val="24"/>
          <w:szCs w:val="24"/>
        </w:rPr>
        <w:br/>
        <w:t xml:space="preserve">A dolgozat célkitűzése, hogy a magyar mezőgazdasági és élelmiszeripari kis- és középvállalatokat a piacorientációjuk szerint klaszterekre bontsa és a klasztereket összehasonlítsa a vállalatra ható külső, belső tényezők és az eredményességük alapján. A megválaszolandó kérdés a következő:</w:t>
      </w:r>
      <w:r>
        <w:rPr>
          <w:color w:val="000000"/>
          <w:sz w:val="24"/>
          <w:szCs w:val="24"/>
        </w:rPr>
        <w:br/>
        <w:t xml:space="preserve">A piacorientáció befolyásolja-e a vállalatok abban, ahogy megítélik külső-, belső környezetüket és vállalati eredményességüket?</w:t>
      </w:r>
      <w:r>
        <w:rPr>
          <w:color w:val="000000"/>
          <w:sz w:val="24"/>
          <w:szCs w:val="24"/>
        </w:rPr>
        <w:br/>
        <w:t xml:space="preserve">A számítások elvégzéséhez az SPSS 19.0.0-ás verzióját használtam. Az SPSS képes elvégezni mindazokat a számításokat, melyekre szükségem volt. Így a normalitásvizsgálatot, a skálák megbízhatóságát, a klaszteranalízist és a varianciaanalízist is.</w:t>
      </w:r>
      <w:r>
        <w:rPr>
          <w:color w:val="000000"/>
          <w:sz w:val="24"/>
          <w:szCs w:val="24"/>
        </w:rPr>
        <w:br/>
        <w:t xml:space="preserve">A klaszterelemzés során a mezőgazdasági és az élelmiszeripari vállalatokat 3-3 klaszterbe osztottam be a piacorientáció alapján, a 3 klaszter: alacsony, közepes, magas piacorientációval rendelkező vállalkozások.</w:t>
      </w:r>
      <w:r>
        <w:rPr>
          <w:color w:val="000000"/>
          <w:sz w:val="24"/>
          <w:szCs w:val="24"/>
        </w:rPr>
        <w:br/>
        <w:t xml:space="preserve">A piacorientáció és a vállalkozásokra ható külső tényezők közötti kapcsolat keresése során, a mezőgazdasági és az élelmiszeripari vállatok esetében teljesen eltérő külső tényezőkkel találtam kapcsolatot, ami abból adódik, hogy az egyik szektor a primer, míg a másik a szekunder területen tevékenykedik.</w:t>
      </w:r>
      <w:r>
        <w:rPr>
          <w:color w:val="000000"/>
          <w:sz w:val="24"/>
          <w:szCs w:val="24"/>
        </w:rPr>
        <w:br/>
        <w:t xml:space="preserve">A belső tényezőknél mindkét szektor esetében hasonló területekkel találtam összefüggést.</w:t>
      </w:r>
      <w:r>
        <w:rPr>
          <w:color w:val="000000"/>
          <w:sz w:val="24"/>
          <w:szCs w:val="24"/>
        </w:rPr>
        <w:br/>
        <w:t xml:space="preserve">A vállalati eredményesség vizsgálatánál a fogyasztói elégedettség és a piacorientáció közötti kapcsolatot mindkét szektor esetében igazoltam, a pénzügyi eredményesség kapcsolatát a piacorientációval csak az élelmiszeripari szektor esetében tudtam igazolni.</w:t>
      </w:r>
      <w:r>
        <w:rPr>
          <w:color w:val="000000"/>
          <w:sz w:val="24"/>
          <w:szCs w:val="24"/>
        </w:rPr>
        <w:br/>
        <w:t xml:space="preserve">Az eredmények értékelése során megállapítottam, hogy a piacorientáció a vállalkozás valamennyi területével pozitív összefüggést mutatott.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764877">
    <w:multiLevelType w:val="hybridMultilevel"/>
    <w:lvl w:ilvl="0" w:tplc="35811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764877">
    <w:abstractNumId w:val="1576487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67038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