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BAREITH</w:t>
            </w:r>
          </w:p>
          <w:p w:rsidR="00C275A3" w:rsidRDefault="00A96AEC" w:rsidP="00C275A3">
            <w:pPr>
              <w:pStyle w:val="Hallgatokepzes"/>
            </w:pPr>
            <w:r>
              <w:t>Finance and Accounting</w:t>
            </w:r>
            <w:r>
              <w:br/>
            </w:r>
            <w:r w:rsidR="00E77B23">
              <w:t>BA, 6.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Kövér, pHd</w:t>
            </w:r>
          </w:p>
          <w:p w:rsidR="00DB4822" w:rsidRDefault="00DB4822" w:rsidP="00E11062">
            <w:pPr>
              <w:pStyle w:val="Konzulensek"/>
            </w:pPr>
            <w:r w:rsidRPr="00DB4822">
              <w:t>associate professor, KE GTK</w:t>
            </w:r>
          </w:p>
        </w:tc>
      </w:tr>
      <w:tr w:rsidR="00DB4822" w:rsidTr="00DB4822">
        <w:tc>
          <w:tcPr>
            <w:tcW w:w="9854" w:type="dxa"/>
          </w:tcPr>
          <w:p w:rsidR="00DB4822" w:rsidRPr="00DB4822" w:rsidRDefault="00DB4822" w:rsidP="004D7940">
            <w:pPr>
              <w:pStyle w:val="Konzulensek"/>
            </w:pPr>
            <w:r w:rsidRPr="00DB4822">
              <w:t>Zsolt Polereczki, pHd</w:t>
            </w:r>
          </w:p>
          <w:p w:rsidR="00DB4822" w:rsidRDefault="00DB4822" w:rsidP="00E11062">
            <w:pPr>
              <w:pStyle w:val="Konzulensek"/>
            </w:pPr>
            <w:r w:rsidRPr="00DB4822">
              <w:t>assistant professor,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the market orientation and the internal and environmental factors to the financial efficiency of the enterprises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small and middle size companies have been struggling to survive a rather stormy transformation period. They have the chance to gain prestigious positions just like their western partners but there also is the option of the complete submission to their superiority.</w:t>
      </w:r>
      <w:r>
        <w:rPr>
          <w:color w:val="000000"/>
          <w:sz w:val="24"/>
          <w:szCs w:val="24"/>
        </w:rPr>
        <w:br/>
        <w:t xml:space="preserve">Understanding the customers’ mind and integrating it into the enterprise everyday activities is becoming the key issue of surviving the competition of the market.</w:t>
      </w:r>
      <w:r>
        <w:rPr>
          <w:color w:val="000000"/>
          <w:sz w:val="24"/>
          <w:szCs w:val="24"/>
        </w:rPr>
        <w:br/>
        <w:t xml:space="preserve">The aim of this study is to create clusters of the agricultural and food industrial firms based on their market orientation. After the segmentation the significant effects of the market orientation to the internal, environmental and efficiency factors will be explored. The question to be answered is the following: Is there any influence of market orientation of the firm to the subjective evaluation of the internal and environmental factors and the efficiency of the firm?</w:t>
      </w:r>
      <w:r>
        <w:rPr>
          <w:color w:val="000000"/>
          <w:sz w:val="24"/>
          <w:szCs w:val="24"/>
        </w:rPr>
        <w:br/>
        <w:t xml:space="preserve">The SPSS version 19.0 computer software was used in order to computie the results. The SPSS software is prepared to make all the computations I needed such as testing normality, scale reliability, cluster analysis, analysis of variance and non parametric tests.</w:t>
      </w:r>
      <w:r>
        <w:rPr>
          <w:color w:val="000000"/>
          <w:sz w:val="24"/>
          <w:szCs w:val="24"/>
        </w:rPr>
        <w:br/>
        <w:t xml:space="preserve">Both the agricultural and the food industrial enterprises have been classified into three classes using cluster analysis based on the level of their market orientation. The clusters represent low, medium and high level MARKOR and MKTOR scale values.</w:t>
      </w:r>
      <w:r>
        <w:rPr>
          <w:color w:val="000000"/>
          <w:sz w:val="24"/>
          <w:szCs w:val="24"/>
        </w:rPr>
        <w:br/>
        <w:t xml:space="preserve">Due to the different focus of activity – primary and secundery sectors – the analysis of the agricultural and food industrial enterpises market orientation resulted in different related environmental factors.</w:t>
      </w:r>
      <w:r>
        <w:rPr>
          <w:color w:val="000000"/>
          <w:sz w:val="24"/>
          <w:szCs w:val="24"/>
        </w:rPr>
        <w:br/>
        <w:t xml:space="preserve">The same relationship characterizes both sectors at the analysis of the association of the internal factors and the market orientations.</w:t>
      </w:r>
      <w:r>
        <w:rPr>
          <w:color w:val="000000"/>
          <w:sz w:val="24"/>
          <w:szCs w:val="24"/>
        </w:rPr>
        <w:br/>
        <w:t xml:space="preserve">Analysing firm efficiency, a close relationship between the and the customer satisfation and the market orientation can be justified for both sectors. The association between the financial profitability and the market orientation was found to be significant in the case of the food industry.</w:t>
      </w:r>
      <w:r>
        <w:rPr>
          <w:color w:val="000000"/>
          <w:sz w:val="24"/>
          <w:szCs w:val="24"/>
        </w:rPr>
        <w:br/>
        <w:t xml:space="preserve">The findings of this study suggests that market orientation is positively related to most areas of the activities of the entrprises.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75228">
    <w:multiLevelType w:val="hybridMultilevel"/>
    <w:lvl w:ilvl="0" w:tplc="48893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75228">
    <w:abstractNumId w:val="76675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633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