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DORISZ TORMA</w:t>
            </w:r>
          </w:p>
          <w:p w:rsidR="00C275A3" w:rsidRDefault="00A96AEC" w:rsidP="00C275A3">
            <w:pPr>
              <w:pStyle w:val="Hallgatokepzes"/>
            </w:pPr>
            <w:r>
              <w:t>Finance and Accounting</w:t>
            </w:r>
            <w:r>
              <w:br/>
            </w:r>
            <w:r w:rsidR="00E77B23">
              <w:t>BA, 6. semester</w:t>
            </w:r>
          </w:p>
          <w:p w:rsidR="00C265CE" w:rsidRPr="009E5FF1" w:rsidRDefault="00E77B23" w:rsidP="00C275A3">
            <w:pPr>
              <w:pStyle w:val="Hallgatokepzes"/>
              <w:rPr>
                <w:b/>
                <w:caps/>
              </w:rPr>
            </w:pPr>
            <w:r>
              <w:t>Kaposvár University</w:t>
            </w:r>
            <w:r w:rsidR="00C275A3">
              <w:br/>
            </w:r>
            <w:r w:rsidR="00DB4822">
              <w:t>Faculty of Economic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Szakály</w:t>
            </w:r>
          </w:p>
          <w:p w:rsidR="00DB4822" w:rsidRDefault="00DB4822" w:rsidP="00E11062">
            <w:pPr>
              <w:pStyle w:val="Konzulensek"/>
            </w:pPr>
            <w:r w:rsidRPr="00DB4822">
              <w:t>  associate professor , KE GTK</w:t>
            </w:r>
          </w:p>
        </w:tc>
      </w:tr>
      <w:tr w:rsidR="00DB4822" w:rsidTr="00DB4822">
        <w:tc>
          <w:tcPr>
            <w:tcW w:w="9854" w:type="dxa"/>
          </w:tcPr>
          <w:p w:rsidR="00DB4822" w:rsidRPr="00DB4822" w:rsidRDefault="00DB4822" w:rsidP="004D7940">
            <w:pPr>
              <w:pStyle w:val="Konzulensek"/>
            </w:pPr>
            <w:r w:rsidRPr="00DB4822">
              <w:t>Dr. Viktória Szente</w:t>
            </w:r>
          </w:p>
          <w:p w:rsidR="00DB4822" w:rsidRDefault="00DB4822" w:rsidP="00E11062">
            <w:pPr>
              <w:pStyle w:val="Konzulensek"/>
            </w:pPr>
            <w:r w:rsidRPr="00DB4822">
              <w:t>  associate professor , 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opinion of university students on in-store marketing tools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seeks to explore the grocery shopping habits of university students as well as examining the different in-store marketing tools and the opinions of the members of Generation Y on them.</w:t>
      </w:r>
      <w:r>
        <w:rPr>
          <w:color w:val="000000"/>
          <w:sz w:val="24"/>
          <w:szCs w:val="24"/>
        </w:rPr>
        <w:br/>
        <w:t xml:space="preserve">According to my hypothesis, young people are familiar with the different marketing tools applied by stores; furthermore, these tools play a key role in influencing their purchasing decisions.</w:t>
      </w:r>
      <w:r>
        <w:rPr>
          <w:color w:val="000000"/>
          <w:sz w:val="24"/>
          <w:szCs w:val="24"/>
        </w:rPr>
        <w:br/>
        <w:t xml:space="preserve">In order to obtain a solid knowledge about the field to be observed, primary and secondary researches were conducted. In the course of the secondary research an overall view of the changes in the purchasing behavior of the Hungarian consumers were established and the results of a foreign research were introduced in order to make the findings of this paper comparable to those of the international scientific circles.</w:t>
      </w:r>
      <w:r>
        <w:rPr>
          <w:color w:val="000000"/>
          <w:sz w:val="24"/>
          <w:szCs w:val="24"/>
        </w:rPr>
        <w:br/>
        <w:t xml:space="preserve">As a part of the primary research, observations were conducted in supermarkets of three retail chains. Following this, the opinions and habits of two groups (each consisting of 8 people) were investigated in the course of focus groups interviews, then another 103 university students were asked to fill out questionnaires.</w:t>
      </w:r>
      <w:r>
        <w:rPr>
          <w:color w:val="000000"/>
          <w:sz w:val="24"/>
          <w:szCs w:val="24"/>
        </w:rPr>
        <w:br/>
        <w:t xml:space="preserve">During the observation, it was revealed that the members of Generation Y are frequent customers; most of them shop grocery at least once a week. Nevertheless, similarly to the members of earlier generations, Generation Y is price-conscious; price tag is their primary incentive while choosing products, even preceding the importance of the quality aspect. The effects of the different discounts and sales also precede the aforementioned feature in choosing products. Their price-sensitive behavior suggests that most of them are only familiar with those in-store marketing tools, which draw their attention to the different price reductions. No loyalty towards stores was observed; the members of Generation Y primarily shop in stores which are close to them and the most important factor for them, after the taste of a product, is the price range.</w:t>
      </w:r>
      <w:r>
        <w:rPr>
          <w:color w:val="000000"/>
          <w:sz w:val="24"/>
          <w:szCs w:val="24"/>
        </w:rPr>
        <w:br/>
        <w:t xml:space="preserve">It was revealed during the observation that university students are only susceptible to a few in-store marketing tools and their attention can be best captured with marketing tools that help them to purchase more economically.</w:t>
      </w:r>
      <w:r>
        <w:rPr>
          <w:color w:val="000000"/>
          <w:sz w:val="24"/>
          <w:szCs w:val="24"/>
        </w:rPr>
        <w:br/>
        <w:t xml:space="preserve">In my opinion, by taking advantage of the characteristics typical of young people through targeted marketing communication, the number and amount of sales would both show an increasing trend.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54550">
    <w:multiLevelType w:val="hybridMultilevel"/>
    <w:lvl w:ilvl="0" w:tplc="73845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54550">
    <w:abstractNumId w:val="700545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4688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