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MÁZSI BOGLÁRKA</w:t>
            </w:r>
          </w:p>
          <w:p w:rsidR="00C275A3" w:rsidRDefault="00A96AEC" w:rsidP="00C275A3">
            <w:pPr>
              <w:pStyle w:val="Hallgatokepzes"/>
            </w:pPr>
            <w:r>
              <w:t>Kerámia</w:t>
            </w:r>
            <w:r>
              <w:br/>
            </w:r>
            <w:r w:rsidR="00E77B23">
              <w:t>BA, 2.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Kommunikációs és Üzleti Főiskola</w:t>
            </w:r>
            <w:r w:rsidR="00C275A3">
              <w:br/>
            </w:r>
            <w:r w:rsidR="00DB4822">
              <w:t>Kommunikációs és 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Koleszár Ferenc</w:t>
            </w:r>
          </w:p>
          <w:p w:rsidR="00DB4822" w:rsidRDefault="00DB4822" w:rsidP="00E11062">
            <w:pPr>
              <w:pStyle w:val="Konzulensek"/>
            </w:pPr>
            <w:r w:rsidRPr="00DB4822">
              <w:t>főiskolai adjunktus, BKF KMK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Nu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tárgy, az iskola területén elhelyezkedő, előre meghatározott közösségi térbe tervezett ülőbútor, amelynek feladata az alapvető funkcióinak ellátása mellett - ülőhely és a közvetlenül mellette elhelyezkedő tároló hely biztosítása - a hangulat és a közösségi érzés megteremtése.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bútor egyes elemeinek méretei megfelelnek a funkció által felállított követelményeknek, ülőmagassága 52 cm szélessége 70 cm mélysége 40 cm. Anyaga újrahasznosított papír és műgyanta kombinációja.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korábban elkészített makettek és a végleges elem magját újrahasznosított hullámpapír lemezek képezik, amelyek műgyantával kerültek összeragasztásra. Külső felületük üvegszál paplan erősítésű műgyanta. A felületek nem igényelnek feltétlenül további kezelést.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6372827">
    <w:multiLevelType w:val="hybridMultilevel"/>
    <w:lvl w:ilvl="0" w:tplc="2703127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6372827">
    <w:abstractNumId w:val="9637282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8575666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