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ORGOVÁNY</w:t>
            </w:r>
          </w:p>
          <w:p w:rsidR="00C275A3" w:rsidRDefault="00A96AEC" w:rsidP="00C275A3">
            <w:pPr>
              <w:pStyle w:val="Hallgatokepzes"/>
            </w:pPr>
            <w:r>
              <w:t>Commerce and Marketing</w:t>
            </w:r>
            <w:r>
              <w:br/>
            </w:r>
            <w:r w:rsidR="00E77B23">
              <w:t>BA, 8.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Földi</w:t>
            </w:r>
          </w:p>
          <w:p w:rsidR="00DB4822" w:rsidRDefault="00DB4822" w:rsidP="00E11062">
            <w:pPr>
              <w:pStyle w:val="Konzulensek"/>
            </w:pPr>
            <w:r w:rsidRPr="00DB4822">
              <w:t>college senior lecturer,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Energy Drink Consumption Patterns of 20-29 Year Old Budapest Residents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primarily targeted group of energy drinks are the 15-25 year old consumers. In recent years several surveys have been conducted among the 10-18 year old age groups, therefore I considered important to analyse the aged over twenty consumers’ consumption patterns. My main objectives were to explore the primary factors affecting the consumption and the purchase of energy drinks of the residents of Budapest in their twenties, as well as to get to know the consumers' opinion focused on their well-informedness.</w:t>
      </w:r>
    </w:p>
    <w:p>
      <w:pPr>
        <w:widowControl w:val="on"/>
        <w:pBdr/>
        <w:spacing w:before="240" w:after="240" w:line="240" w:lineRule="auto"/>
        <w:ind w:left="0" w:right="0"/>
        <w:jc w:val="left"/>
      </w:pPr>
      <w:r>
        <w:rPr>
          <w:color w:val="000000"/>
          <w:sz w:val="24"/>
          <w:szCs w:val="24"/>
        </w:rPr>
        <w:t xml:space="preserve">Secondary research has confirmed that energy drinks consumption represents a growing trend, at both global and national levels, yet they are considered negative internationally, due to which the product is exposed to constant global restrictions (for example labelling).</w:t>
      </w:r>
    </w:p>
    <w:p>
      <w:pPr>
        <w:widowControl w:val="on"/>
        <w:pBdr/>
        <w:spacing w:before="240" w:after="240" w:line="240" w:lineRule="auto"/>
        <w:ind w:left="0" w:right="0"/>
        <w:jc w:val="left"/>
      </w:pPr>
      <w:r>
        <w:rPr>
          <w:color w:val="000000"/>
          <w:sz w:val="24"/>
          <w:szCs w:val="24"/>
        </w:rPr>
        <w:t xml:space="preserve">Consumers agree with the international perception, the majority of our respondents consider energy drinks harmful, however they consume them because they like them. The research (personal interviews, questionnaires) has confirmed that although energy drink consumers are hardly aware of the ingredients, yet in the case of a change that results in new flavours, they are willing to change their usual brand to a different one. The results of the research are not surprising as it was proved that the Budapest twenty-year-old’s most decisive factor regarding energy drinks is taste, even though in the flavour tests –in the absence of brand awareness- the majority did not recognize their most liked brand. In addition to taste, the other most decisive factors are the energy drinks’ effects and their prices. The occasional consumption of the examined consumers is mostly during everyday activities, they consume energy drinks by itself on average every 2-3 weeks, but consuming energy drinks at places of amusement, mixed with alcohol is also typical. Their objectives are to overcome fatigue, and to increase their ability to concentrate. The typical consumer is "quasi" brand loyal, but primarily they prefer their most liked brand, which is the same as their most often consumed one. The most preferred shopping scenes are the hyper-and supermarkets and small shops, where they spend an average of 200-300 HUF to buy a can of energy drink.</w:t>
      </w:r>
    </w:p>
    <w:p>
      <w:pPr>
        <w:widowControl w:val="on"/>
        <w:pBdr/>
        <w:spacing w:before="240" w:after="240" w:line="240" w:lineRule="auto"/>
        <w:ind w:left="0" w:right="0"/>
        <w:jc w:val="left"/>
      </w:pPr>
      <w:r>
        <w:rPr>
          <w:color w:val="000000"/>
          <w:sz w:val="24"/>
          <w:szCs w:val="24"/>
        </w:rPr>
        <w:t xml:space="preserve">There is a detectable correlation between the level of income and the amount spent on one energy drink, the higher their income per capita level, the more consumers are willing to choose a higher-priced energy drink.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13741">
    <w:multiLevelType w:val="hybridMultilevel"/>
    <w:lvl w:ilvl="0" w:tplc="31746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13741">
    <w:abstractNumId w:val="30613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688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