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VARJASI</w:t>
            </w:r>
          </w:p>
          <w:p w:rsidR="00C275A3" w:rsidRDefault="00A96AEC" w:rsidP="00C275A3">
            <w:pPr>
              <w:pStyle w:val="Hallgatokepzes"/>
            </w:pPr>
            <w:r>
              <w:t>Applied Linguistics</w:t>
            </w:r>
            <w:r>
              <w:br/>
            </w:r>
            <w:r w:rsidR="00E77B23">
              <w:t>MA, 2.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Csilla Bartha</w:t>
            </w:r>
          </w:p>
          <w:p w:rsidR="00DB4822" w:rsidRDefault="00DB4822" w:rsidP="00E11062">
            <w:pPr>
              <w:pStyle w:val="Konzulensek"/>
            </w:pPr>
            <w:r w:rsidRPr="00DB4822">
              <w:t>  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Legal consciousness, attitudes, language choice: the affects of the language lagistlation based on an empirical research in Slovakia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Language rights is one of the prosperous fields of sociolinguistics in the XXI century, this study deals with a lesser-researched field of Hungarian applied linguistics. As far as the minority Hungarian language is concerned, there have not been interdisciplinary researches examining the possible affect of language legislation (macro-level) to informants’ language choice (micro-level).</w:t>
      </w:r>
    </w:p>
    <w:p>
      <w:pPr>
        <w:widowControl w:val="on"/>
        <w:pBdr/>
        <w:spacing w:before="240" w:after="240" w:line="240" w:lineRule="auto"/>
        <w:ind w:left="0" w:right="0"/>
        <w:jc w:val="left"/>
      </w:pPr>
      <w:r>
        <w:rPr>
          <w:color w:val="000000"/>
          <w:sz w:val="24"/>
          <w:szCs w:val="24"/>
        </w:rPr>
        <w:t xml:space="preserve">Legal consciousness was studied in connection with the language policy in the village of Szímő, Slovakia. A 120-member sized, representative sample of the adult community of Szímő was used; it was layered by sex and age. In this study quantitative results will be presented which were acquired with questionnaire during a fieldwork in February 2012. Interviews were recorded as well in order to collect qualitative data to conduct deep analysis.</w:t>
      </w:r>
    </w:p>
    <w:p>
      <w:pPr>
        <w:widowControl w:val="on"/>
        <w:pBdr/>
        <w:spacing w:before="240" w:after="240" w:line="240" w:lineRule="auto"/>
        <w:ind w:left="0" w:right="0"/>
        <w:jc w:val="left"/>
      </w:pPr>
      <w:r>
        <w:rPr>
          <w:color w:val="000000"/>
          <w:sz w:val="24"/>
          <w:szCs w:val="24"/>
        </w:rPr>
        <w:t xml:space="preserve">It was assumed that the informants are aware of the existence of language legislation; nevertheless I suppose that they do not have proper information about its regulations.</w:t>
      </w:r>
    </w:p>
    <w:p>
      <w:pPr>
        <w:widowControl w:val="on"/>
        <w:pBdr/>
        <w:spacing w:before="240" w:after="240" w:line="240" w:lineRule="auto"/>
        <w:ind w:left="0" w:right="0"/>
        <w:jc w:val="left"/>
      </w:pPr>
      <w:r>
        <w:rPr>
          <w:color w:val="000000"/>
          <w:sz w:val="24"/>
          <w:szCs w:val="24"/>
        </w:rPr>
        <w:t xml:space="preserve">Finally this study argues that the informants’ legal consciousness and misbelieves in connection with the language legislation are hanged together with the language choice. This means that the basic hypothesis can be justified indirectly: the language legislation – in certain circumstances – could affect language use.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329687">
    <w:multiLevelType w:val="hybridMultilevel"/>
    <w:lvl w:ilvl="0" w:tplc="168363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329687">
    <w:abstractNumId w:val="873296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30493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