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NOEMI-AGNES</w:t>
            </w:r>
          </w:p>
          <w:p w:rsidR="00C275A3" w:rsidRDefault="00A96AEC" w:rsidP="00C275A3">
            <w:pPr>
              <w:pStyle w:val="Hallgatokepzes"/>
            </w:pPr>
            <w:r>
              <w:t>General Medicin</w:t>
            </w:r>
            <w:r>
              <w:br/>
            </w:r>
            <w:r w:rsidR="00E77B23">
              <w:t>Unified, 7. semester</w:t>
            </w:r>
          </w:p>
          <w:p w:rsidR="00C265CE" w:rsidRPr="009E5FF1" w:rsidRDefault="00E77B23" w:rsidP="00C275A3">
            <w:pPr>
              <w:pStyle w:val="Hallgatokepzes"/>
              <w:rPr>
                <w:b/>
                <w:caps/>
              </w:rPr>
            </w:pPr>
            <w:r>
              <w:t>University of Medicine and Pharmacy Tirgu Mures</w:t>
            </w:r>
            <w:r w:rsidR="00C275A3">
              <w:br/>
            </w:r>
            <w:r w:rsidR="00DB4822">
              <w:t>General Medicin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Josef Boehm</w:t>
            </w:r>
          </w:p>
          <w:p w:rsidR="00DB4822" w:rsidRDefault="00DB4822" w:rsidP="00E11062">
            <w:pPr>
              <w:pStyle w:val="Konzulensek"/>
            </w:pPr>
            <w:r w:rsidRPr="00DB4822">
              <w:t>Senior research fellow,  Freiberg-i Megyei Kórház, Neurológia Klinika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and advantages of the ultrasound assessment of the peripheral nerves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routine diagnosis of peripheral nerve damage is based upon clinical and electrophysiological examination. With the use of high-frequency transducers, a noninvasive method is available for the diagnosis and follow up of these patients.</w:t>
      </w:r>
      <w:r>
        <w:rPr>
          <w:color w:val="000000"/>
          <w:sz w:val="24"/>
          <w:szCs w:val="24"/>
        </w:rPr>
        <w:br/>
        <w:t xml:space="preserve">Purpose: to demonstrate the advantages of the ultrasound investigation in the diagnosis of peripheral nerve damage, in comparison with MRI, EMG, ENG examinations, and to show its possibilities.</w:t>
      </w:r>
      <w:r>
        <w:rPr>
          <w:color w:val="000000"/>
          <w:sz w:val="24"/>
          <w:szCs w:val="24"/>
        </w:rPr>
        <w:br/>
        <w:t xml:space="preserve">Patients and methods: for the examination we used a 12 MHz Toshiba Aplio XG ultrasound device with a linear transducer. The applicability of the method is that the nerve must be close to the surface. Its indications: tunnel syndromes, nerve ruptures, tumors, ultrasound guided surgical interventions. We receive morphological information from N. Medianus, N. Ulnaris, N. Radialis, and the Brachial plexus, witch is situated between the Anterior and Medial Scalenic Muscle , on the lower limb for example in the height of Caput Fibulae from the N. Peroneus.</w:t>
      </w:r>
      <w:r>
        <w:rPr>
          <w:color w:val="000000"/>
          <w:sz w:val="24"/>
          <w:szCs w:val="24"/>
        </w:rPr>
        <w:br/>
        <w:t xml:space="preserve">Results: used the diagnostical methods: the measurement of nerve diameters on cross-sectional area (median nerve 0.9-0.25 cm2 pathological, N.Ulnaris &gt;2.6 mm pathological). In cases of median and ulnar neuropathies we used the WFR and HCR ratios (WFR&gt;2 positive with 93% specificity, HCR&gt;1,4 positive, with 95% specificity). We must take into consideration the change in echogenity of the nerves. The ultrasound examination has a higher axial resolving power then the MRI, the fascicular structure of the nerve is visible. We can differentiate compression damages, nerve ruptures, tumors, neurofibromas, anatomical malformations and cysts.</w:t>
      </w:r>
      <w:r>
        <w:rPr>
          <w:color w:val="000000"/>
          <w:sz w:val="24"/>
          <w:szCs w:val="24"/>
        </w:rPr>
        <w:br/>
        <w:t xml:space="preserve">Conclusion: the ultrasound examination of the peripheral nerves compared to electrophysiological studies is a far accurate and faster screening tool. Although its numerous advantages it is seldom used in clinical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77465">
    <w:multiLevelType w:val="hybridMultilevel"/>
    <w:lvl w:ilvl="0" w:tplc="50733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77465">
    <w:abstractNumId w:val="11177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447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