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KUPAI</w:t>
            </w:r>
          </w:p>
          <w:p w:rsidR="00C275A3" w:rsidRDefault="00A96AEC" w:rsidP="00C275A3">
            <w:pPr>
              <w:pStyle w:val="Hallgatokepzes"/>
            </w:pPr>
            <w:r>
              <w:t>Management and Leadership</w:t>
            </w:r>
            <w:r>
              <w:br/>
            </w:r>
            <w:r w:rsidR="00E77B23">
              <w:t>MA, 1.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Kun Ph.D.</w:t>
            </w:r>
          </w:p>
          <w:p w:rsidR="00DB4822" w:rsidRDefault="00DB4822" w:rsidP="00E11062">
            <w:pPr>
              <w:pStyle w:val="Konzulensek"/>
            </w:pPr>
            <w:r w:rsidRPr="00DB4822">
              <w:t>assistant professor and assistant professor, DE KTK University of Debrecen. Faculty of Economics and Business Administration.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between institutions, process management, innovation and economic performance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information technology (IT) has grown significantly in the last few decades. It is almost impossible to separate service management from information technology, due to the fact that IT standards cover the complete service lifecycle. In order to provide the flawless operation of services an adequate information technology infrastructure is essential, i.e., the networks, facilities, hardware, software and all that is necessary to provide information technology services and for the related development, testing, support and monitoring.</w:t>
      </w:r>
    </w:p>
    <w:p>
      <w:pPr>
        <w:widowControl w:val="on"/>
        <w:pBdr/>
        <w:spacing w:before="240" w:after="240" w:line="240" w:lineRule="auto"/>
        <w:ind w:left="0" w:right="0"/>
        <w:jc w:val="left"/>
      </w:pPr>
      <w:r>
        <w:rPr>
          <w:color w:val="000000"/>
          <w:sz w:val="24"/>
          <w:szCs w:val="24"/>
        </w:rPr>
        <w:t xml:space="preserve">I am introducing the implementation of IT service management in practice, in the institutional economic framework. “The standards can be regarded as institutions” – this statement of Sterns and Reardon (2001) is the theoretic basis of my work. I concentrate on IT standards, which, as minimal quality and information standards, have their positive and negative effects. I am illustrating the relationship of formal, also called de jure, and informal, also called de facto standards through factual examples. I am analyzing the connection of a formal and an informal standard in the field of information technology: the ISO/IEC 20000 international standard for IT Service Management, and the ITIL de facto standard. ISO/IEC 20000 is an international standard, established by international organizations International Organization for Standardisation and International Electrotechnical Commission. ITIL, the so-called IT Infrastructure Library is a globally widespread de facto standard, one of the most prevalent in Hungary. My objective is to show how the results of economic theory can be applied in the field of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56876">
    <w:multiLevelType w:val="hybridMultilevel"/>
    <w:lvl w:ilvl="0" w:tplc="58434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56876">
    <w:abstractNumId w:val="40456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490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