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BARTS</w:t>
            </w:r>
          </w:p>
          <w:p w:rsidR="00C275A3" w:rsidRDefault="00A96AEC" w:rsidP="00C275A3">
            <w:pPr>
              <w:pStyle w:val="Hallgatokepzes"/>
            </w:pPr>
            <w:r>
              <w:t>Graphic design</w:t>
            </w:r>
            <w:r>
              <w:br/>
            </w:r>
            <w:r w:rsidR="00E77B23">
              <w:t>BA, 6. semester</w:t>
            </w:r>
          </w:p>
          <w:p w:rsidR="00C265CE" w:rsidRPr="009E5FF1" w:rsidRDefault="00E77B23" w:rsidP="00C275A3">
            <w:pPr>
              <w:pStyle w:val="Hallgatokepzes"/>
              <w:rPr>
                <w:b/>
                <w:caps/>
              </w:rPr>
            </w:pPr>
            <w:r>
              <w:t>Moholy-Nagy University of Art and Design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A. Tillmann</w:t>
            </w:r>
          </w:p>
          <w:p w:rsidR="00DB4822" w:rsidRDefault="00DB4822" w:rsidP="00E11062">
            <w:pPr>
              <w:pStyle w:val="Konzulensek"/>
            </w:pPr>
            <w:r w:rsidRPr="00DB4822">
              <w:t>professor,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Screen-aesthetics</w:t>
      </w:r>
    </w:p>
    <w:p w:rsidR="00D71DF5" w:rsidRDefault="00D71DF5" w:rsidP="00AD2602">
      <w:pPr>
        <w:jc w:val="both"/>
      </w:pPr>
    </w:p>
    <w:p>
      <w:pPr>
        <w:pBdr/>
        <w:spacing w:before="240" w:after="240" w:line="240" w:lineRule="auto"/>
        <w:ind w:left="0" w:right="0"/>
        <w:jc w:val="left"/>
      </w:pPr>
      <w:r>
        <w:rPr>
          <w:color w:val="000000"/>
          <w:sz w:val="24"/>
          <w:szCs w:val="24"/>
        </w:rPr>
        <w:t xml:space="preserve">The paper seeks to define the notion of screen-aesthetics in today’s visual culture through the analysis of the parallel development of art and design in the post-war decades and the postmodern age. Screen-aesthetics is thus defined as the perfectionist aestheticism of the digital media, displays, interfaces and applications and their influence on both fine art and everyday life. The phenomenon is studied through certain processes of cultural history, such as the varying definition of art; its medial and institutional changes; the alteration of the interpretative criteria and thus the practice of canonisation and narrative construction; the emergence of the society of consumption and its notion of design; the imaging practice of the digital age; and the interconnectedness of cult and market. The paper studies the characteristics of this type of aestheticised visual culture, the reasons and consequences of its emergence, the related designer-culture and the art world’s star- and show-cult.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80819">
    <w:multiLevelType w:val="hybridMultilevel"/>
    <w:lvl w:ilvl="0" w:tplc="51253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80819">
    <w:abstractNumId w:val="65080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384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