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LÍVIA BARTS</w:t>
            </w:r>
          </w:p>
          <w:p w:rsidR="00C275A3" w:rsidRDefault="00A96AEC" w:rsidP="00C275A3">
            <w:pPr>
              <w:pStyle w:val="Hallgatokepzes"/>
            </w:pPr>
            <w:r>
              <w:t>Graphic design</w:t>
            </w:r>
            <w:r>
              <w:br/>
            </w:r>
            <w:r w:rsidR="00E77B23">
              <w:t>BA, 6. semester</w:t>
            </w:r>
          </w:p>
          <w:p w:rsidR="00C265CE" w:rsidRPr="009E5FF1" w:rsidRDefault="00E77B23" w:rsidP="00C275A3">
            <w:pPr>
              <w:pStyle w:val="Hallgatokepzes"/>
              <w:rPr>
                <w:b/>
                <w:caps/>
              </w:rPr>
            </w:pPr>
            <w:r>
              <w:t>Moholy-Nagy University of Art and Design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A. Tillmann</w:t>
            </w:r>
          </w:p>
          <w:p w:rsidR="00DB4822" w:rsidRDefault="00DB4822" w:rsidP="00E11062">
            <w:pPr>
              <w:pStyle w:val="Konzulensek"/>
            </w:pPr>
            <w:r w:rsidRPr="00DB4822">
              <w:t>professor, MOME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Screen-aesthetics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paper seeks to define the notion of screen-aesthetics in today’s visual culture through the analysis of the parallel development of art and design in the post-war decades and the postmodern age. Screen-aesthetics is thus defined as the perfectionist aestheticism of the digital media, displays, interfaces and applications and their influence on both fine art and everyday life. The phenomenon is studied through certain processes of cultural history, such as the varying definition of art; its medial and institutional changes; the alteration of the interpretative criteria and thus the practice of canonisation and narrative construction; the emergence of the society of consumption and its notion of design; the imaging practice of the digital age; and the interconnectedness of cult and market. The paper studies the characteristics of this type of aestheticised visual culture, the reasons and consequences of its emergence, the related designer-culture and the art world’s star- and show-cult.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200461">
    <w:multiLevelType w:val="hybridMultilevel"/>
    <w:lvl w:ilvl="0" w:tplc="619490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200461">
    <w:abstractNumId w:val="602004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97308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