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SZIGETI FLÓRA MÁRTA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Gyenge Anikó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tanszékvezető-helyettes egyetemi docens, KRE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Menyhárd Attila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szellemi alkotásokhoz fűződő jog sajátosságai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címe sűrítve tartalmazza azokat az aspektusokat, amelyeknek vizsgálatára vállalkoztam; így a szellemi alkotások mibenléte, a rajtuk fennálló jog vagy jogosultságok szerkezete és dinamikája dolgozatom tárgya.</w:t>
      </w:r>
      <w:r>
        <w:rPr>
          <w:color w:val="000000"/>
          <w:sz w:val="24"/>
          <w:szCs w:val="24"/>
        </w:rPr>
        <w:br/>
        <w:t xml:space="preserve">A szellemi alkotások joga hagyományosan az egyik, ha nem a legdinamikusabban változó jogterület. Az innovációs környezet állandó aktivitása, az újmédia megjelenése és a kulturális fogyasztói szokások változása napról-napra újabb kihívást generál a tárgyalt jogterület számára. Dolgozatomban azt vizsgálom egy mesterséges modell elemzése mentén, hogy a szellemi alkotásokhoz fűződő jogok szabályozása mennyiben reagál a valóság jelenségeire, avagy mennyire rugaszkodott el tőlük.</w:t>
      </w:r>
      <w:r>
        <w:rPr>
          <w:color w:val="000000"/>
          <w:sz w:val="24"/>
          <w:szCs w:val="24"/>
        </w:rPr>
        <w:br/>
        <w:t xml:space="preserve">A modellel kapcsolatos alapvetések, hogy a szellemi alkotások joga, valójában több, egymásra épülő jogosultságot takar, melyek mindegyike egy bizonyos érdek- és értékkört véd, és hogy ezek az aspektusok csak szigorú egymásutániságban érvényesülhetnek. Az egymásra épülő és dinamikusan a szellemi alkotások ernyője alatt aktiválódó jogosultságkörök egymás után: a megalkotás aktusához kapcsolódó személyiségi jogi vonatkozások, a monopol jogosultság, azaz a tulajdoni jellegű aspektusok, a vagyoni forgalomban való részvétel és végül a jogterület külső és belső, többek között alapjogi és versenyjogi korlátai. A modell működését kortárs példákkal illusztrálom, de hangsúlyt fektetek a történeti-elméleti háttérre, a magyar szabályozásra, az új Ptk. kodifikációja során felmerült szempontokra és egyes funkcionális kérdésekre való kitérésre is (pl. szerződéses közkincs, nihilizmus, Creative Commons, „propertization”).</w:t>
      </w:r>
      <w:r>
        <w:rPr>
          <w:color w:val="000000"/>
          <w:sz w:val="24"/>
          <w:szCs w:val="24"/>
        </w:rPr>
        <w:br/>
        <w:t xml:space="preserve">Dolgozatom megközelítési módja lehetőséget ad egyes kérdések – mint például a jogterület egységével vagy az egyes jogosultságok konfliktusával kapcsolatosak – megválaszolására is. A módszer újdonsága, hogy kilép mind az oltalmi forma-központú, mind pedig az egyes jogosultságokat előtérbe helyező (ld. pl. tulajdoni-személyiségi jogi kötődés vitája) diskurzusok paradigmájából és a szellemi alkotásokhoz fűződő jogok összességét elemzi, ennek segítségével rámutatva a jelenlegi szabályozás jellegzetességeire és egyes kérdésekben predesztinálva a szabályozási szemléletmód-váltást. A dolgozat – részleges de lege ferenda javaslatok mellett – terület elméleti hátterében, a szabályozás metódusára tesz javaslatot: így a mediális, infokommunikációs változásokat jelölve meg a jelen dogmatikai rendszer legnagyobb kihívóiként.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65940">
    <w:multiLevelType w:val="hybridMultilevel"/>
    <w:lvl w:ilvl="0" w:tplc="69785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65940">
    <w:abstractNumId w:val="581659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76687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