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MÁRTA SZIGETI</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Gyenge</w:t>
            </w:r>
          </w:p>
          <w:p w:rsidR="00DB4822" w:rsidRDefault="00DB4822" w:rsidP="00E11062">
            <w:pPr>
              <w:pStyle w:val="Konzulensek"/>
            </w:pPr>
            <w:r w:rsidRPr="00DB4822">
              <w:t>associate professor, KRE ÁJK</w:t>
            </w:r>
          </w:p>
        </w:tc>
      </w:tr>
      <w:tr w:rsidR="00DB4822" w:rsidTr="00DB4822">
        <w:tc>
          <w:tcPr>
            <w:tcW w:w="9854" w:type="dxa"/>
          </w:tcPr>
          <w:p w:rsidR="00DB4822" w:rsidRPr="00DB4822" w:rsidRDefault="00DB4822" w:rsidP="004D7940">
            <w:pPr>
              <w:pStyle w:val="Konzulensek"/>
            </w:pPr>
            <w:r w:rsidRPr="00DB4822">
              <w:t>Dr. Attila Menyhárd</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Key Characteristics of Intellectual Property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of my paper refers to all aspects I examine. The subjects of my paper involve the essence and nature of intellectual creations, structure and dynamics of the rights and obligations attached to them.</w:t>
      </w:r>
      <w:r>
        <w:rPr>
          <w:color w:val="000000"/>
          <w:sz w:val="24"/>
          <w:szCs w:val="24"/>
        </w:rPr>
        <w:br/>
        <w:t xml:space="preserve">Intellectual Property Law has always been one of the most dynamically changing areas of law. The permanent activity in the innovation environment, the appearance of the new media and the day-to-day mutation of cultural consumer behavior generate a challenging reality to rule by the legal system. My intention in this paper is to reveal the gaps between the real innovation and art world, and IP laws. In order to reach my aim, I set up an artificial model.</w:t>
      </w:r>
      <w:r>
        <w:rPr>
          <w:color w:val="000000"/>
          <w:sz w:val="24"/>
          <w:szCs w:val="24"/>
        </w:rPr>
        <w:br/>
        <w:t xml:space="preserve">The main principles in the model’s paradigm are that IP law covers several separate rights presuming and built on each other, all these rights (and obligations) are strongly attached to an interest group and these rights and obligations are enforceable in a strict sequence. These dynamically functioning rights, interests are to be described by the following sequence of aspects: (i) moral rights attached to the creation of intellectual products, (ii) the monopoly status of the right on these products as the property aspects, (iii) commercial market participation, and finally (iv) the internal and external constraints of this area such as human rights and competition law. I illustrate how the model functions with contemporary examples, but I also emphasize some relevant issues regarding the historical and theoretical background, the Hungarian ruling and civil codification, as well as some practical and functional questions (e.g. public domain by license, IP nihilism, Creative Commons, propertization).</w:t>
      </w:r>
      <w:r>
        <w:rPr>
          <w:color w:val="000000"/>
          <w:sz w:val="24"/>
          <w:szCs w:val="24"/>
        </w:rPr>
        <w:br/>
        <w:t xml:space="preserve">The novelty of this conceptual approach is that it goes beyond the limits of the subject-based paradigm, as well as the discourses concerning the primacy of an aspect against an other (e.g. moral-property approach debate escalated during the codification of the new Civil Code) and examines the totality of IP rights. Therefore, it makes possible to highlight the main characteristics of the contemporary ruling and to predestinate a new approach of legislation. The paper offers some de lege ferenda suggestions, but mainly concentrates on new aspects of method and theory of the IP ruling; thus, appointing medium-based changes as the main challenger of the contemporary dogmatic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94648">
    <w:multiLevelType w:val="hybridMultilevel"/>
    <w:lvl w:ilvl="0" w:tplc="80928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94648">
    <w:abstractNumId w:val="65494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791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