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RENCSIK ANITA</w:t>
            </w:r>
          </w:p>
          <w:p w:rsidR="00C275A3" w:rsidRDefault="00A96AEC" w:rsidP="00C275A3">
            <w:pPr>
              <w:pStyle w:val="Hallgatokepzes"/>
            </w:pPr>
            <w:r>
              <w:t>Általános Orvosi Szak</w:t>
            </w:r>
            <w:r>
              <w:br/>
            </w:r>
            <w:r w:rsidR="00E77B23">
              <w:t>Osztatlan, 12.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Marosvásárhelyi Orvosi és Gyógyszerészeti Egyetem</w:t>
            </w:r>
            <w:r w:rsidR="00C275A3">
              <w:br/>
            </w:r>
            <w:r w:rsidR="00DB4822">
              <w:t>Orvosi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Dr.Szilágyi Tibor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MOGYE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Kísérletes temporális lebeny epilepszia modellek összehasonlítása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Bevezetés. A humán temporális lebeny epilepszia (HTLE) alapját a hiperexcitabilitás és nagyszámú idegsejt átmenetileg szinkronizált aktiválódása képezi. A HTLE sajátosságainak reprodukálására leginkább krónikus állatmodelleket használnak.</w:t>
      </w:r>
      <w:r>
        <w:rPr>
          <w:color w:val="000000"/>
          <w:sz w:val="24"/>
          <w:szCs w:val="24"/>
        </w:rPr>
        <w:br/>
        <w:t xml:space="preserve">Célkitűzésünk a két leggyakrabban alkalmazott állatmodell, a pilocarpinos, illetve az amygdala kindling során jelentkező epileptogenézis jellemzőinek összehasonlítása.</w:t>
      </w:r>
      <w:r>
        <w:rPr>
          <w:color w:val="000000"/>
          <w:sz w:val="24"/>
          <w:szCs w:val="24"/>
        </w:rPr>
        <w:br/>
        <w:t xml:space="preserve">Anyag és módszer. Vizsgálatunkhoz hím Wistar patkányokat használtunk. Kindling esetén stimuláló elektródokat ültettünk a bal amygdalába, és mérőelektródokat minkét oldali hippocampusba. Naponta ismételt szubkonvulzív elektromos ingerléssel rohamokat váltottunk ki. A másik csoportban pilocarpine kezeléssel status epilepticust (SE) indukáltunk. Mindkét csoportot folyamatos videómegfigyelés alá helyeztük, majd a spontán rohamok ismételt jelentkezése után az állatokat szövettanilag feldolgoztuk.</w:t>
      </w:r>
      <w:r>
        <w:rPr>
          <w:color w:val="000000"/>
          <w:sz w:val="24"/>
          <w:szCs w:val="24"/>
        </w:rPr>
        <w:br/>
        <w:t xml:space="preserve">Eredmények. Kindling révén Racine 5 fokozatú rohamokat sikerült kiváltani. A pilocarpinos modell esetében a SE ellenére csak fokális (Racine 3) rohamokat észleltünk a megfigyelés alatt.</w:t>
      </w:r>
      <w:r>
        <w:rPr>
          <w:color w:val="000000"/>
          <w:sz w:val="24"/>
          <w:szCs w:val="24"/>
        </w:rPr>
        <w:br/>
        <w:t xml:space="preserve">Az agyszeletekben Nissl festéssel nagymértékű sejtpusztulást találtunk a pilocarpine esetén; a kindlinges csoportban a súlyosabb visszatérő rohamok ellenére a szövettani károsodás enyhébb volt. Adatainkat kontrollállatok eredményeivel is összehasonlítottuk.</w:t>
      </w:r>
      <w:r>
        <w:rPr>
          <w:color w:val="000000"/>
          <w:sz w:val="24"/>
          <w:szCs w:val="24"/>
        </w:rPr>
        <w:br/>
        <w:t xml:space="preserve">Megbeszélés. Következtetés. A különböző patomechanizmus ellenére mindkét módszer alkalmas a HTLE modellezésére. A kindling jobban jellemzi a fokozatosan súlyosbodó epilepsziát, míg a pilocarpinos kezelés a refrakter, szklerotizáló epilepsziaformát modellezi. A kindling rendkívül idő- és munkaigényes, ezért csak kis esetszámra alkalmazható, a pilocarpinos modell révén rövidebb idő alatt nagyobb esetszám tanulmányozható.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182314">
    <w:multiLevelType w:val="hybridMultilevel"/>
    <w:lvl w:ilvl="0" w:tplc="827143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182314">
    <w:abstractNumId w:val="501823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40708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