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RENCSIK</w:t>
            </w:r>
          </w:p>
          <w:p w:rsidR="00C275A3" w:rsidRDefault="00A96AEC" w:rsidP="00C275A3">
            <w:pPr>
              <w:pStyle w:val="Hallgatokepzes"/>
            </w:pPr>
            <w:r>
              <w:t>General Medicine</w:t>
            </w:r>
            <w:r>
              <w:br/>
            </w:r>
            <w:r w:rsidR="00E77B23">
              <w:t>Unified, 12. semester</w:t>
            </w:r>
          </w:p>
          <w:p w:rsidR="00C265CE" w:rsidRPr="009E5FF1" w:rsidRDefault="00E77B23" w:rsidP="00C275A3">
            <w:pPr>
              <w:pStyle w:val="Hallgatokepzes"/>
              <w:rPr>
                <w:b/>
                <w:caps/>
              </w:rPr>
            </w:pPr>
            <w:r>
              <w:t>University of Medicine and Pharmacy Targu Mures</w:t>
            </w:r>
            <w:r w:rsidR="00C275A3">
              <w:br/>
            </w:r>
            <w:r w:rsidR="00DB4822">
              <w:t>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Szilagyi</w:t>
            </w:r>
          </w:p>
          <w:p w:rsidR="00DB4822" w:rsidRDefault="00DB4822" w:rsidP="00E11062">
            <w:pPr>
              <w:pStyle w:val="Konzulensek"/>
            </w:pPr>
            <w:r w:rsidRPr="00DB4822">
              <w:t>Professor, MOGYE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comparison of temporal lobe epilepsy models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basic mechanism of human temporal lobe epilepsy (HTLE) consists of neuronal hyperexcitability inducing temporary activation of a large population of neurons. In order to reproduce the particularities of HTLE we can use several chronic animal models.</w:t>
      </w:r>
      <w:r>
        <w:rPr>
          <w:color w:val="000000"/>
          <w:sz w:val="24"/>
          <w:szCs w:val="24"/>
        </w:rPr>
        <w:br/>
        <w:t xml:space="preserve">Our goal was to compare the mechanisms of epileptogenesis using two widely used animal models, the pilocarpine induced and the amygdala kindling epilepsy models.</w:t>
      </w:r>
      <w:r>
        <w:rPr>
          <w:color w:val="000000"/>
          <w:sz w:val="24"/>
          <w:szCs w:val="24"/>
        </w:rPr>
        <w:br/>
        <w:t xml:space="preserve">Materials and methods. In both animal models we used male Wistar rats. In case of kindling we stereotaxically implanted stimulation electrodes to the left amygdala and recording electrodes bilaterally in the hippocampus, then we induced seizures using repetitive (daily) subconvulsive electrical stimulation. In the other group of animals we induced status epilepticus (SE) with intraperitoneal pilocarpine injection. Both groups were continuously video-monitored, and the brain tissue was only processed histologically after observing spontaneous reccuring seizures.</w:t>
      </w:r>
      <w:r>
        <w:rPr>
          <w:color w:val="000000"/>
          <w:sz w:val="24"/>
          <w:szCs w:val="24"/>
        </w:rPr>
        <w:br/>
        <w:t xml:space="preserve">Results. In the kindling model the severity of the obtained seizures was 5 on the Racine scale, whereas in the pilocarpine model, despite of the initial SE, only focal (Racine stage 3) seizures were observed. Nissl staining revealed important cell death in the pilocarpine model; despite of the recurrent and more severe seizures the histological damage was moderate in the kindling model. All data were compared to control animals as well.</w:t>
      </w:r>
      <w:r>
        <w:rPr>
          <w:color w:val="000000"/>
          <w:sz w:val="24"/>
          <w:szCs w:val="24"/>
        </w:rPr>
        <w:br/>
        <w:t xml:space="preserve">Discussion, conclusion. Despite of the different mechanism of induction both methods are suitable to model HTLE. While kindling reproduces the progressively aggravated epilepsy better, the pilocarpine model is superior in showing the hippocampal sclerosis present in patients with treatment-refractory epilepsy. The time and work consuming nature of the kindling model may be prohibitive, whereas the pilocarpine model may be suited to larger number on animals.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47941">
    <w:multiLevelType w:val="hybridMultilevel"/>
    <w:lvl w:ilvl="0" w:tplc="54678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47941">
    <w:abstractNumId w:val="302479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84266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