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KOCSIS</w:t>
            </w:r>
          </w:p>
          <w:p w:rsidR="00C275A3" w:rsidRDefault="00A96AEC" w:rsidP="00C275A3">
            <w:pPr>
              <w:pStyle w:val="Hallgatokepzes"/>
            </w:pPr>
            <w:r>
              <w:t/>
            </w:r>
            <w:r>
              <w:br/>
            </w:r>
            <w:r w:rsidR="00E77B23">
              <w:t>Unified, 8.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ANDREA KOVÁCS</w:t>
            </w:r>
          </w:p>
          <w:p w:rsidR="00DB4822" w:rsidRDefault="00C275A3" w:rsidP="004D7940">
            <w:pPr>
              <w:pStyle w:val="Hallgatokepzes"/>
            </w:pPr>
            <w:r>
              <w:t>Medicine</w:t>
            </w:r>
            <w:r w:rsidR="00A96AEC">
              <w:br/>
              <w:t>Unified, 8. semester</w:t>
            </w:r>
          </w:p>
          <w:p w:rsidR="00DB4822" w:rsidRDefault="00DB4822" w:rsidP="004D7940">
            <w:pPr>
              <w:pStyle w:val="Hallgatointezmeny-kar"/>
            </w:pPr>
            <w:r>
              <w:t>University of Medicine and Pharmacy, Tirgu Mures</w:t>
            </w:r>
          </w:p>
          <w:p w:rsidR="00C265CE" w:rsidRPr="009E5FF1" w:rsidRDefault="00DB4822" w:rsidP="004D7940">
            <w:pPr>
              <w:pStyle w:val="Hallgatointezmeny-kar"/>
              <w:rPr>
                <w:b/>
                <w:caps/>
              </w:rPr>
            </w:pPr>
            <w:r>
              <w:t>Faculty of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IMOLA RÉKA VASS</w:t>
            </w:r>
          </w:p>
          <w:p w:rsidR="00C275A3" w:rsidRDefault="00A96AEC" w:rsidP="00C275A3">
            <w:pPr>
              <w:pStyle w:val="Hallgatokepzes"/>
            </w:pPr>
            <w:r>
              <w:t/>
            </w:r>
            <w:r>
              <w:br/>
            </w:r>
            <w:r w:rsidR="00E77B23">
              <w:t>Unified, 8.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Mónika Szabó</w:t>
            </w:r>
          </w:p>
          <w:p w:rsidR="00DB4822" w:rsidRDefault="00DB4822" w:rsidP="00E11062">
            <w:pPr>
              <w:pStyle w:val="Konzulensek"/>
            </w:pPr>
            <w:r w:rsidRPr="00DB4822">
              <w:t>assistant professor, MOGYE</w:t>
            </w:r>
          </w:p>
        </w:tc>
      </w:tr>
      <w:tr w:rsidR="00DB4822" w:rsidTr="00DB4822">
        <w:tc>
          <w:tcPr>
            <w:tcW w:w="9854" w:type="dxa"/>
          </w:tcPr>
          <w:p w:rsidR="00DB4822" w:rsidRPr="00DB4822" w:rsidRDefault="00DB4822" w:rsidP="004D7940">
            <w:pPr>
              <w:pStyle w:val="Konzulensek"/>
            </w:pPr>
            <w:r w:rsidRPr="00DB4822">
              <w:t>Zita Fazekas MD</w:t>
            </w:r>
          </w:p>
          <w:p w:rsidR="00DB4822" w:rsidRDefault="00DB4822" w:rsidP="00E11062">
            <w:pPr>
              <w:pStyle w:val="Konzulensek"/>
            </w:pPr>
            <w:r w:rsidRPr="00DB4822">
              <w:t>associate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Dietary Supplements Taken by Patiens with Diabetes Mellitus Type 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Dietary Supplements Taken by Patients with Diabetes Mellitus Type 2 in Tirgu Mures – Survey</w:t>
      </w:r>
    </w:p>
    <w:p>
      <w:pPr>
        <w:widowControl w:val="on"/>
        <w:pBdr/>
        <w:spacing w:before="240" w:after="240" w:line="240" w:lineRule="auto"/>
        <w:ind w:left="0" w:right="0"/>
        <w:jc w:val="left"/>
      </w:pPr>
      <w:r>
        <w:rPr>
          <w:color w:val="000000"/>
          <w:sz w:val="24"/>
          <w:szCs w:val="24"/>
        </w:rPr>
        <w:t xml:space="preserve">Authors: Kovács Andrea (5th year) , Kocsis Katalin (6th Year), Vass Imola (5th year), University of Medicine and Pharmacy, Tirgu Mures, Faculty of Medicine</w:t>
      </w:r>
    </w:p>
    <w:p>
      <w:pPr>
        <w:widowControl w:val="on"/>
        <w:pBdr/>
        <w:spacing w:before="240" w:after="240" w:line="240" w:lineRule="auto"/>
        <w:ind w:left="0" w:right="0"/>
        <w:jc w:val="left"/>
      </w:pPr>
      <w:r>
        <w:rPr>
          <w:color w:val="000000"/>
          <w:sz w:val="24"/>
          <w:szCs w:val="24"/>
        </w:rPr>
        <w:t xml:space="preserve">Supervisors: Dr. Szabó Mónika, assistant professor, University of Medicine and Pharmacy, Tirgu Mures, Dr. Fazakas Zita, associate professor, University of Medicine and Pharmacy, Tirgu Mures</w:t>
      </w:r>
    </w:p>
    <w:p>
      <w:pPr>
        <w:widowControl w:val="on"/>
        <w:pBdr/>
        <w:spacing w:before="240" w:after="240" w:line="240" w:lineRule="auto"/>
        <w:ind w:left="0" w:right="0"/>
        <w:jc w:val="left"/>
      </w:pPr>
      <w:r>
        <w:rPr>
          <w:color w:val="000000"/>
          <w:sz w:val="24"/>
          <w:szCs w:val="24"/>
        </w:rPr>
        <w:t xml:space="preserve">Although diabetic patients in Romania get an efficient treatment for free, media and public opinion favours the use of supplementary products.</w:t>
      </w:r>
    </w:p>
    <w:p>
      <w:pPr>
        <w:widowControl w:val="on"/>
        <w:pBdr/>
        <w:spacing w:before="240" w:after="240" w:line="240" w:lineRule="auto"/>
        <w:ind w:left="0" w:right="0"/>
        <w:jc w:val="left"/>
      </w:pPr>
      <w:r>
        <w:rPr>
          <w:color w:val="000000"/>
          <w:sz w:val="24"/>
          <w:szCs w:val="24"/>
        </w:rPr>
        <w:br/>
        <w:t xml:space="preserve">Purpose. To study the patterns of dietary supplement usage and their characteristics in patients with diabetes mellitus type 2 in Mures county, Transylvania.</w:t>
      </w:r>
    </w:p>
    <w:p>
      <w:pPr>
        <w:widowControl w:val="on"/>
        <w:pBdr/>
        <w:spacing w:before="240" w:after="240" w:line="240" w:lineRule="auto"/>
        <w:ind w:left="0" w:right="0"/>
        <w:jc w:val="left"/>
      </w:pPr>
      <w:r>
        <w:rPr>
          <w:color w:val="000000"/>
          <w:sz w:val="24"/>
          <w:szCs w:val="24"/>
        </w:rPr>
        <w:t xml:space="preserve">Materials and methods. We have interviewed 200 patients with DM2 (mean age: 60.07 years). The questionnaire recorded</w:t>
      </w:r>
      <w:r>
        <w:rPr>
          <w:color w:val="000000"/>
          <w:sz w:val="24"/>
          <w:szCs w:val="24"/>
        </w:rPr>
        <w:br/>
        <w:t xml:space="preserve">the name, the cost/month, the length of the use of the supplement(s), the effect and possibly side-effects detected by patients and all the data they knew about the supplementary products used. Data was analyzed with GraphPad and SPSS statistical programs. We gave a score each product based on the score system we set up.</w:t>
      </w:r>
    </w:p>
    <w:p>
      <w:pPr>
        <w:widowControl w:val="on"/>
        <w:pBdr/>
        <w:spacing w:before="240" w:after="240" w:line="240" w:lineRule="auto"/>
        <w:ind w:left="0" w:right="0"/>
        <w:jc w:val="left"/>
      </w:pPr>
      <w:r>
        <w:rPr>
          <w:color w:val="000000"/>
          <w:sz w:val="24"/>
          <w:szCs w:val="24"/>
        </w:rPr>
        <w:t xml:space="preserve">Results. 54.5% of the patients used some kind of dietary supplement; 22.94% used more than one. 12.84% used dietary supplements for diabetes, 63.3% used tea, 31.19% some kind of vitamins and 17.43% dietary supplements without effect on diabetes. 38.5% of the patients didn’t know the mechanism of action of the dietary supplements they took. 41.3% couldn’t detect any effect after taking them. Only 16.5% refused to continue the treatment. Young patients take them more frequently than elders (p=0.01). We didn’t find significant correlation between gender, diabetic antecedents, the adjusted treatment and the frequency of use of dietary supplements. The dietary supplements recommended by doctors or books were cheaper than those suggested by pharmacists or the media (p=0.03). The cheapest product, an alcoholic blueberry-extract got the highest score. Only 50% of the leaflets were adequate.</w:t>
      </w:r>
    </w:p>
    <w:p>
      <w:pPr>
        <w:widowControl w:val="on"/>
        <w:pBdr/>
        <w:spacing w:before="240" w:after="240" w:line="240" w:lineRule="auto"/>
        <w:ind w:left="0" w:right="0"/>
        <w:jc w:val="left"/>
      </w:pPr>
      <w:r>
        <w:rPr>
          <w:color w:val="000000"/>
          <w:sz w:val="24"/>
          <w:szCs w:val="24"/>
        </w:rPr>
        <w:t xml:space="preserve">Conclusion. Diabetic patients use frequently dietary supplements. Those recommended by the media were expensive and </w:t>
      </w:r>
      <w:r>
        <w:rPr>
          <w:color w:val="000000"/>
          <w:sz w:val="24"/>
          <w:szCs w:val="24"/>
        </w:rPr>
        <w:br/>
        <w:t xml:space="preserve">ineffective.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21939">
    <w:multiLevelType w:val="hybridMultilevel"/>
    <w:lvl w:ilvl="0" w:tplc="56258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21939">
    <w:abstractNumId w:val="26221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75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