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SZEIFERT</w:t>
            </w:r>
          </w:p>
          <w:p w:rsidR="00C275A3" w:rsidRDefault="00A96AEC" w:rsidP="00C275A3">
            <w:pPr>
              <w:pStyle w:val="Hallgatokepzes"/>
            </w:pPr>
            <w:r>
              <w:t/>
            </w:r>
            <w:r>
              <w:br/>
            </w:r>
            <w:r w:rsidR="00E77B23">
              <w:t>High school student</w:t>
            </w:r>
          </w:p>
          <w:p w:rsidR="00C265CE" w:rsidRPr="009E5FF1" w:rsidRDefault="00E77B23" w:rsidP="00C275A3">
            <w:pPr>
              <w:pStyle w:val="Hallgatokepzes"/>
              <w:rPr>
                <w:b/>
                <w:caps/>
              </w:rPr>
            </w:pPr>
            <w:r>
              <w:t>Lajos Kossuth Teacher Training Secondary School of 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Szabó</w:t>
            </w:r>
          </w:p>
          <w:p w:rsidR="00DB4822" w:rsidRDefault="00DB4822" w:rsidP="00E11062">
            <w:pPr>
              <w:pStyle w:val="Konzulensek"/>
            </w:pPr>
            <w:r w:rsidRPr="00DB4822">
              <w:t>reader, DE OEC</w:t>
            </w:r>
          </w:p>
        </w:tc>
      </w:tr>
      <w:tr w:rsidR="00DB4822" w:rsidTr="00DB4822">
        <w:tc>
          <w:tcPr>
            <w:tcW w:w="9854" w:type="dxa"/>
          </w:tcPr>
          <w:p w:rsidR="00DB4822" w:rsidRPr="00DB4822" w:rsidRDefault="00DB4822" w:rsidP="004D7940">
            <w:pPr>
              <w:pStyle w:val="Konzulensek"/>
            </w:pPr>
            <w:r w:rsidRPr="00DB4822">
              <w:t>Zsolt Krakomperger</w:t>
            </w:r>
          </w:p>
          <w:p w:rsidR="00DB4822" w:rsidRDefault="00DB4822" w:rsidP="00E11062">
            <w:pPr>
              <w:pStyle w:val="Konzulensek"/>
            </w:pPr>
            <w:r w:rsidRPr="00DB4822">
              <w:t>secondary school teacher,  Lajos Kossuth Teacher Training Secondary School of University of Debrecen</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comparative examination of doripenem and other carbapenems in vitro efficiency against enterococcus strains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Background: The enterococci are common pathogens. In hospital circumstances they can be isolated from the urinary system, wound or bloodstream infections. In such cases a new antibiotic can serve as a therapeutic alternative, it is from the group of carbapenems, known as doripenem, which has been available as Doribax® in Hungary since 2010.</w:t>
      </w:r>
      <w:r>
        <w:rPr>
          <w:color w:val="000000"/>
          <w:sz w:val="24"/>
          <w:szCs w:val="24"/>
        </w:rPr>
        <w:br/>
        <w:t xml:space="preserve">Aim: During my work I have examined 113 enterococci colonies, which were isolated by the University of Debrecen, against 3 types of carbapenem (imipenem, meropenem and doripenem) in in vitro circumstances by disc diffusion test. Related publications suggest that imipenem should be more effective than meropenem. The efficiency of the new carbapenem, doripenem against enterococcus has not been widely recognized. My aim is to compare the efficiency of the three antibiotics with the same active ingredient by disc diffusion.</w:t>
      </w:r>
      <w:r>
        <w:rPr>
          <w:color w:val="000000"/>
          <w:sz w:val="24"/>
          <w:szCs w:val="24"/>
        </w:rPr>
        <w:br/>
        <w:t xml:space="preserve">Material, method: Taking bacteria culture as a basis I make bacteria suspension in densitometer in 0.5 McFarland turbidity which means 1.5x108 CFU/mL. With the help of a sterile cotton swab, I cover the Muller-Hinton agar plate, which contains 5% sheep blood, with the bacteria suspension. With sterile needle I place the discs containing 30 μg active ingredients on the agar. I incubate the culture in 37</w:t>
      </w:r>
      <w:r>
        <w:rPr>
          <w:color w:val="000000"/>
          <w:position w:val="4"/>
          <w:sz w:val="21"/>
          <w:szCs w:val="21"/>
          <w:vertAlign w:val="superscript"/>
        </w:rPr>
        <w:t xml:space="preserve">o</w:t>
      </w:r>
      <w:r>
        <w:rPr>
          <w:color w:val="000000"/>
          <w:sz w:val="24"/>
          <w:szCs w:val="24"/>
        </w:rPr>
        <w:t xml:space="preserve"> C for 24 hours in a thermostat with normal airspace. After the incubation I measure the diameter of the inhibiting zone and in accordance with the Clinical and Laboratory Standards Institute (CLSI, 2009) I can evaluate it. If the diameter of the inhibiting zone transcends 18 mm they are evaluated sensitive, between 16 and 18 mm moderately sensitive and below 16 mm resistant classification.</w:t>
      </w:r>
      <w:r>
        <w:rPr>
          <w:color w:val="000000"/>
          <w:sz w:val="24"/>
          <w:szCs w:val="24"/>
        </w:rPr>
        <w:br/>
        <w:t xml:space="preserve">Results, evaluation: The majority of the examined enterococci were Enterococcus faecalis which had been cultivated from urine, wound samples and hemoculture by the laboratory. The average zone-diameter around the imipenem disc was about 25,2 mm which means that all of the colonies were sensitive against that antibiotic. In the case of the meropenem and doripenem the related data were nearly the same, averaging at 15 mm. In the case of meropenem 41% of the species were sensitive, in the case of doripenem less: 35%. On the basis of my results I can declare that meropenem and doripenem show the same efficiency against the enterococcus strains, however imipenem still exceeds them in terms of efficiency. All in all, in the case of an enterococcus infection carbapenem antibiotic is needed, imipenem should still be recommended.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764988">
    <w:multiLevelType w:val="hybridMultilevel"/>
    <w:lvl w:ilvl="0" w:tplc="387933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764988">
    <w:abstractNumId w:val="357649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95200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