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FAZEKAS</w:t>
            </w:r>
          </w:p>
          <w:p w:rsidR="00C275A3" w:rsidRDefault="00A96AEC" w:rsidP="00C275A3">
            <w:pPr>
              <w:pStyle w:val="Hallgatokepzes"/>
            </w:pPr>
            <w:r>
              <w:t>Electrical Engineering</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Bálint NÉMETH</w:t>
            </w:r>
          </w:p>
          <w:p w:rsidR="00DB4822" w:rsidRDefault="00DB4822" w:rsidP="00E11062">
            <w:pPr>
              <w:pStyle w:val="Konzulensek"/>
            </w:pPr>
            <w:r w:rsidRPr="00DB4822">
              <w:t>assistant professor, BME VIK</w:t>
            </w:r>
          </w:p>
        </w:tc>
      </w:tr>
      <w:tr w:rsidR="00DB4822" w:rsidTr="00DB4822">
        <w:tc>
          <w:tcPr>
            <w:tcW w:w="9854" w:type="dxa"/>
          </w:tcPr>
          <w:p w:rsidR="00DB4822" w:rsidRPr="00DB4822" w:rsidRDefault="00DB4822" w:rsidP="004D7940">
            <w:pPr>
              <w:pStyle w:val="Konzulensek"/>
            </w:pPr>
            <w:r w:rsidRPr="00DB4822">
              <w:t>Richárd CSELKÓ</w:t>
            </w:r>
          </w:p>
          <w:p w:rsidR="00DB4822" w:rsidRDefault="00DB4822" w:rsidP="00E11062">
            <w:pPr>
              <w:pStyle w:val="Konzulensek"/>
            </w:pPr>
            <w:r w:rsidRPr="00DB4822">
              <w:t>professor’s assistant, BME VIK</w:t>
            </w:r>
          </w:p>
        </w:tc>
      </w:tr>
      <w:tr w:rsidR="00DB4822" w:rsidTr="00DB4822">
        <w:tc>
          <w:tcPr>
            <w:tcW w:w="9854" w:type="dxa"/>
          </w:tcPr>
          <w:p w:rsidR="00DB4822" w:rsidRPr="00DB4822" w:rsidRDefault="00DB4822" w:rsidP="004D7940">
            <w:pPr>
              <w:pStyle w:val="Konzulensek"/>
            </w:pPr>
            <w:r w:rsidRPr="00DB4822">
              <w:t>Sándor SZABÓ</w:t>
            </w:r>
          </w:p>
          <w:p w:rsidR="00DB4822" w:rsidRDefault="00DB4822" w:rsidP="00E11062">
            <w:pPr>
              <w:pStyle w:val="Konzulensek"/>
            </w:pPr>
            <w:r w:rsidRPr="00DB4822">
              <w:t>Phd student,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Simulation of the aging of power distribution assets/ Elosztóhálózati berendezések öregedésének szimulációja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power distribution system had undergone many changes in the recent decades. Because of the changed regulatory conditions, the suppliers transform their operation and business politics. They are looking for different options to reduce their expenditure and to comply with the regulatory expectations. One of the results of this transformation is the emergence of asset management.</w:t>
      </w:r>
    </w:p>
    <w:p>
      <w:pPr>
        <w:pBdr/>
        <w:spacing w:before="240" w:after="240" w:line="240" w:lineRule="auto"/>
        <w:ind w:left="0" w:right="0"/>
        <w:jc w:val="left"/>
      </w:pPr>
      <w:r>
        <w:rPr>
          <w:color w:val="000000"/>
          <w:sz w:val="24"/>
          <w:szCs w:val="24"/>
        </w:rPr>
        <w:t xml:space="preserve">The operation costs and reliability of the power system are defined by the properties (type, age, condition etc.) of the equipment used. Due to aging, the condition of the equipments is detoriorating. In the electricity system of most of the countries major part of the devices have reached their life expectancy. Therefore it is important to replace them at the right time. We have to be careful not to replace the devices too early. In order to find the optimal time of replacement different methods are used.</w:t>
      </w:r>
    </w:p>
    <w:p>
      <w:pPr>
        <w:pBdr/>
        <w:spacing w:before="240" w:after="240" w:line="240" w:lineRule="auto"/>
        <w:ind w:left="0" w:right="0"/>
        <w:jc w:val="left"/>
      </w:pPr>
      <w:r>
        <w:rPr>
          <w:color w:val="000000"/>
          <w:sz w:val="24"/>
          <w:szCs w:val="24"/>
        </w:rPr>
        <w:t xml:space="preserve">During my project I use supplier’s data and condition evaluation method to simulate the ageing of the medium voltage power grid in MATLAB. In this paper I analyse the aging of the medium voltage power grid. I give an estimation about the condition detorioration of the assets and the number of the periodic repairs with probabilistic methods. I compared the condition calculation method with other extreme cases.</w:t>
      </w:r>
    </w:p>
    <w:p>
      <w:pPr>
        <w:pBdr/>
        <w:spacing w:before="240" w:after="240" w:line="240" w:lineRule="auto"/>
        <w:ind w:left="0" w:right="0"/>
        <w:jc w:val="left"/>
      </w:pPr>
      <w:r>
        <w:rPr>
          <w:color w:val="000000"/>
          <w:sz w:val="24"/>
          <w:szCs w:val="24"/>
        </w:rPr>
        <w:t xml:space="preserve">The aim of the research is to establish a complex computer-aided system which is able to calculate the operation costs of the whole grid. An attempt is made at comparing the proposed method with various currently used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69186">
    <w:multiLevelType w:val="hybridMultilevel"/>
    <w:lvl w:ilvl="0" w:tplc="31916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69186">
    <w:abstractNumId w:val="502691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30191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