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FARKAS</w:t>
            </w:r>
          </w:p>
          <w:p w:rsidR="00C275A3" w:rsidRDefault="00A96AEC" w:rsidP="00C275A3">
            <w:pPr>
              <w:pStyle w:val="Hallgatokepzes"/>
            </w:pPr>
            <w:r>
              <w:t>Electrical Engineering, M.Sc.</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Prikler</w:t>
            </w:r>
          </w:p>
          <w:p w:rsidR="00DB4822" w:rsidRDefault="00DB4822" w:rsidP="00E11062">
            <w:pPr>
              <w:pStyle w:val="Konzulensek"/>
            </w:pPr>
            <w:r w:rsidRPr="00DB4822">
              <w:t>assistant lecturer, BME VIK</w:t>
            </w:r>
          </w:p>
        </w:tc>
      </w:tr>
      <w:tr w:rsidR="00DB4822" w:rsidTr="00DB4822">
        <w:tc>
          <w:tcPr>
            <w:tcW w:w="9854" w:type="dxa"/>
          </w:tcPr>
          <w:p w:rsidR="00DB4822" w:rsidRPr="00DB4822" w:rsidRDefault="00DB4822" w:rsidP="004D7940">
            <w:pPr>
              <w:pStyle w:val="Konzulensek"/>
            </w:pPr>
            <w:r w:rsidRPr="00DB4822">
              <w:t>Imre Orlay</w:t>
            </w:r>
          </w:p>
          <w:p w:rsidR="00DB4822" w:rsidRDefault="00DB4822" w:rsidP="00E11062">
            <w:pPr>
              <w:pStyle w:val="Konzulensek"/>
            </w:pPr>
            <w:r w:rsidRPr="00DB4822">
              <w:t>technology expert,  DSO ÉMÁSZ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electric car charging on the distribution grid, especially when considering DSOs' participation in the down-regulation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Today the private transportation sector is mainly dominated by cars with internal combustion engines. However, due to the finite oil resources and increasing pollution caused by these vehicles, the need for alternative fuels is increasing. Electric energy can be such an alternative "fuel". Electric cars are as old as the cars with internal combustion engines, but interest for this technology has been lost for almost a century. It is however facing a second renaissance nowadays and is a probable winner of the future transportation.</w:t>
      </w:r>
    </w:p>
    <w:p>
      <w:pPr>
        <w:pBdr/>
        <w:spacing w:before="240" w:after="240" w:line="240" w:lineRule="auto"/>
        <w:ind w:left="0" w:right="0"/>
        <w:jc w:val="left"/>
      </w:pPr>
      <w:r>
        <w:rPr>
          <w:color w:val="000000"/>
          <w:sz w:val="24"/>
          <w:szCs w:val="24"/>
        </w:rPr>
        <w:t xml:space="preserve">Electric cars require of course an adequate serving infrastructure. This infrastructure is the already existing low-voltage distribution grid. The household loads of these networks are well known for the DSOs (Distribution System Operators) that operate them, but the extra load caused by the charging of electric cars will certainly modify these load profiles. Therefore it is necessary for DSOs to prepare in advance for the probable problems, that include overloading of the distribution transformers and voltage drop at the end of the feeders for example. To forecast the impacts, simulations have to be conducted. The purpose of this work is to introduce the simulation technique and to present the results of these simulations.</w:t>
      </w:r>
    </w:p>
    <w:p>
      <w:pPr>
        <w:pBdr/>
        <w:spacing w:before="240" w:after="240" w:line="240" w:lineRule="auto"/>
        <w:ind w:left="0" w:right="0"/>
        <w:jc w:val="left"/>
      </w:pPr>
      <w:r>
        <w:rPr>
          <w:color w:val="000000"/>
          <w:sz w:val="24"/>
          <w:szCs w:val="24"/>
        </w:rPr>
        <w:t xml:space="preserve">Besides the expected problems, the new technology might have many advantages as well. By aggregating a large number of electric cars we can have a virtual storage of hundreds of MWs and this capacity can be used for regulating purposes. An example of this is the down-regulation capability which can help the TSO (Transmission System Operator) in valley filling during the night.</w:t>
      </w:r>
    </w:p>
    <w:p>
      <w:pPr>
        <w:pBdr/>
        <w:spacing w:before="240" w:after="240" w:line="240" w:lineRule="auto"/>
        <w:ind w:left="0" w:right="0"/>
        <w:jc w:val="left"/>
      </w:pPr>
      <w:r>
        <w:rPr>
          <w:color w:val="000000"/>
          <w:sz w:val="24"/>
          <w:szCs w:val="24"/>
        </w:rPr>
        <w:t xml:space="preserve">This work is made up as follows: it begins with the presentation of electric cars and the charging technology in general, then follows with the modelling of a certain low-voltage grid in Budapest in the DIgSILENT Power Factory simulation software. The model consists of 30 different household load profiles and a realistic electric car charging characteristic. Cars are supposed to arrive at home in different time instants; this fact is taken into consideration by a Poisson-distribution. After that, the so-called delayed charging is also investigated for which a thorough statistical analysis of the down-regulation needs in the Hungarian electricity network was conducted based on data from the Hungarian TSO MAVIR. The simulation results (loading of transformers and cables and the voltage drops) are summarized in diagrams.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19829">
    <w:multiLevelType w:val="hybridMultilevel"/>
    <w:lvl w:ilvl="0" w:tplc="21602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19829">
    <w:abstractNumId w:val="90219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973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