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LÁNG CSENGE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Kas Bence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BGGYK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Örley Zita</w:t>
            </w:r>
          </w:p>
          <w:p w:rsidR="00DB4822" w:rsidRDefault="00DB4822" w:rsidP="00E11062">
            <w:pPr>
              <w:pStyle w:val="Konzulensek"/>
            </w:pPr>
            <w:r w:rsidRPr="00DB4822">
              <w:t>külső munkatárs,  Országos Orvosi Rehabilitációs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alternatív és augmentatív kommunikáció alkalmazási lehetőségei afáziás személyeknél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alternatív és augmentatív kommunikáció alkalmazási lehetőségei az afáziaterápiában. Az afázia mint nyelvi akadályozottság esetében kézenfekvőnek tűnik a beszéd más csatornákkal való helyettesítése. Erre ad eszköztárat az alternatív és augmentatív kommunikáció (AAK). Az afázia és AAK általános jellemzői után a nemzetközi szakirodalom alapján az aktuális kutatási eredmények kerülnek bemutatásra. Ezt követi a német és magyar logopédusok által kitöltött kérdőíves kutatás eredményeinek összehasonlító elemzése. A szakirodalom és a kutatás alapján elmondható, hogy az AAK-nak fontos szerepe lehet az afáziaterápiában, melyet további kutatások és szakmai ismeretterjesztés mozdíthat előre.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56009">
    <w:multiLevelType w:val="hybridMultilevel"/>
    <w:lvl w:ilvl="0" w:tplc="6129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56009">
    <w:abstractNumId w:val="64656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95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