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RAUSCHER EVELIN</w:t>
            </w:r>
          </w:p>
          <w:p w:rsidR="00C275A3" w:rsidRDefault="00A96AEC" w:rsidP="00C275A3">
            <w:pPr>
              <w:pStyle w:val="Hallgatokepzes"/>
            </w:pPr>
            <w:r>
              <w:t>Kémia</w:t>
            </w:r>
            <w:r>
              <w:br/>
            </w:r>
            <w:r w:rsidR="00E77B23">
              <w:t>BSc, 7.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Horváth Attila</w:t>
            </w:r>
          </w:p>
          <w:p w:rsidR="00DB4822" w:rsidRDefault="00DB4822" w:rsidP="00E11062">
            <w:pPr>
              <w:pStyle w:val="Konzulensek"/>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tioszulfát-perjodát reakció összetett kinetikája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Tudományos diákköri dolgozatomban a tioszulfát-perjodát reakció kinetikáját spektrofotometriásan vizsgáltuk a 250-600 nm hullámhossztartományban, 25,0</w:t>
      </w:r>
      <w:r>
        <w:rPr>
          <w:color w:val="000000"/>
          <w:position w:val="-3"/>
          <w:sz w:val="24"/>
          <w:szCs w:val="24"/>
        </w:rPr>
        <w:drawing>
          <wp:inline distT="0" distB="0" distL="0" distR="0">
            <wp:extent cx="115200" cy="108000"/>
            <wp:docPr id="80256506" name="name150c01eb810f42" descr="imgtmp_17333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7333_hu_1.gif"/>
                    <pic:cNvPicPr/>
                  </pic:nvPicPr>
                  <pic:blipFill>
                    <a:blip r:embed="rId150c01eb810f03"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0,1°C hőmérsékleten, gyengén savas közegben (acetát-ecetsav puffer jelenlétében), állandó ionerősségen. Egy korábbi tanulmány eredményeit megerősítve azt találtuk, hogy a reakció nem jellemezhető egyetlen sztöchiometriai egyenlettel, a tetrationát- és a szulfátionok párhuzamosan keletkeznek a reakció során. Savasabb közegben a tetrationátion képződése preferált miközben a perjodátion jodidionig redukálódik</w:t>
      </w:r>
      <w:r>
        <w:rPr>
          <w:color w:val="000000"/>
          <w:sz w:val="24"/>
          <w:szCs w:val="24"/>
        </w:rPr>
        <w:br/>
        <w:t xml:space="preserve">8S</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position w:val="4"/>
          <w:sz w:val="21"/>
          <w:szCs w:val="21"/>
        </w:rPr>
        <w:t xml:space="preserve">2-</w:t>
      </w:r>
      <w:r>
        <w:rPr>
          <w:color w:val="000000"/>
          <w:sz w:val="24"/>
          <w:szCs w:val="24"/>
        </w:rPr>
        <w:t xml:space="preserve">+IO</w:t>
      </w:r>
      <w:r>
        <w:rPr>
          <w:color w:val="000000"/>
          <w:position w:val="-4"/>
          <w:sz w:val="21"/>
          <w:szCs w:val="21"/>
          <w:vertAlign w:val="subscript"/>
        </w:rPr>
        <w:t xml:space="preserve">4</w:t>
      </w:r>
      <w:r>
        <w:rPr>
          <w:color w:val="000000"/>
          <w:position w:val="4"/>
          <w:sz w:val="21"/>
          <w:szCs w:val="21"/>
        </w:rPr>
        <w:t xml:space="preserve">-</w:t>
      </w:r>
      <w:r>
        <w:rPr>
          <w:color w:val="000000"/>
          <w:sz w:val="24"/>
          <w:szCs w:val="24"/>
        </w:rPr>
        <w:t xml:space="preserve">+8H</w:t>
      </w:r>
      <w:r>
        <w:rPr>
          <w:color w:val="000000"/>
          <w:position w:val="4"/>
          <w:sz w:val="21"/>
          <w:szCs w:val="21"/>
          <w:vertAlign w:val="superscript"/>
        </w:rPr>
        <w:t xml:space="preserve">+ </w:t>
      </w:r>
      <w:r>
        <w:rPr>
          <w:color w:val="000000"/>
          <w:position w:val="-3"/>
          <w:sz w:val="21"/>
          <w:szCs w:val="21"/>
          <w:vertAlign w:val="superscript"/>
        </w:rPr>
        <w:drawing>
          <wp:inline distT="0" distB="0" distL="0" distR="0">
            <wp:extent cx="172800" cy="79200"/>
            <wp:docPr id="85797749" name="name150c01eb81235c" descr="imgtmp_17333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7333_hu_2.gif"/>
                    <pic:cNvPicPr/>
                  </pic:nvPicPr>
                  <pic:blipFill>
                    <a:blip r:embed="rId150c01eb81231f" cstate="print"/>
                    <a:stretch>
                      <a:fillRect/>
                    </a:stretch>
                  </pic:blipFill>
                  <pic:spPr>
                    <a:xfrm>
                      <a:off x="0" y="0"/>
                      <a:ext cx="172800" cy="79200"/>
                    </a:xfrm>
                    <a:prstGeom prst="rect">
                      <a:avLst/>
                    </a:prstGeom>
                    <a:ln w="0">
                      <a:noFill/>
                    </a:ln>
                  </pic:spPr>
                </pic:pic>
              </a:graphicData>
            </a:graphic>
          </wp:inline>
        </w:drawing>
      </w:r>
      <w:r>
        <w:rPr>
          <w:color w:val="000000"/>
          <w:position w:val="4"/>
          <w:sz w:val="21"/>
          <w:szCs w:val="21"/>
          <w:vertAlign w:val="superscript"/>
        </w:rPr>
        <w:t xml:space="preserve"> </w:t>
      </w:r>
      <w:r>
        <w:rPr>
          <w:color w:val="000000"/>
          <w:sz w:val="24"/>
          <w:szCs w:val="24"/>
        </w:rPr>
        <w:t xml:space="preserve">4S</w:t>
      </w:r>
      <w:r>
        <w:rPr>
          <w:color w:val="000000"/>
          <w:position w:val="-4"/>
          <w:sz w:val="21"/>
          <w:szCs w:val="21"/>
          <w:vertAlign w:val="subscript"/>
        </w:rPr>
        <w:t xml:space="preserve">4</w:t>
      </w:r>
      <w:r>
        <w:rPr>
          <w:color w:val="000000"/>
          <w:sz w:val="24"/>
          <w:szCs w:val="24"/>
        </w:rPr>
        <w:t xml:space="preserve">O</w:t>
      </w:r>
      <w:r>
        <w:rPr>
          <w:color w:val="000000"/>
          <w:position w:val="-4"/>
          <w:sz w:val="21"/>
          <w:szCs w:val="21"/>
          <w:vertAlign w:val="subscript"/>
        </w:rPr>
        <w:t xml:space="preserve">6</w:t>
      </w:r>
      <w:r>
        <w:rPr>
          <w:color w:val="000000"/>
          <w:position w:val="4"/>
          <w:sz w:val="21"/>
          <w:szCs w:val="21"/>
        </w:rPr>
        <w:t xml:space="preserve">2-</w:t>
      </w:r>
      <w:r>
        <w:rPr>
          <w:color w:val="000000"/>
          <w:sz w:val="24"/>
          <w:szCs w:val="24"/>
        </w:rPr>
        <w:t xml:space="preserve">+I</w:t>
      </w:r>
      <w:r>
        <w:rPr>
          <w:color w:val="000000"/>
          <w:position w:val="4"/>
          <w:sz w:val="21"/>
          <w:szCs w:val="21"/>
          <w:vertAlign w:val="superscript"/>
        </w:rPr>
        <w:t xml:space="preserve">-</w:t>
      </w:r>
      <w:r>
        <w:rPr>
          <w:color w:val="000000"/>
          <w:sz w:val="24"/>
          <w:szCs w:val="24"/>
        </w:rPr>
        <w:t xml:space="preserve">+4H</w:t>
      </w:r>
      <w:r>
        <w:rPr>
          <w:color w:val="000000"/>
          <w:position w:val="-4"/>
          <w:sz w:val="21"/>
          <w:szCs w:val="21"/>
          <w:vertAlign w:val="subscript"/>
        </w:rPr>
        <w:t xml:space="preserve">2</w:t>
      </w:r>
      <w:r>
        <w:rPr>
          <w:color w:val="000000"/>
          <w:sz w:val="24"/>
          <w:szCs w:val="24"/>
        </w:rPr>
        <w:t xml:space="preserve">O,</w:t>
      </w:r>
      <w:r>
        <w:rPr>
          <w:color w:val="000000"/>
          <w:sz w:val="24"/>
          <w:szCs w:val="24"/>
        </w:rPr>
        <w:br/>
        <w:t xml:space="preserve">míg nagyobb pH-kon a sztöchiometria a szulfátion keletkezésének irányába tolódik el, miközben jodátion keletkezik</w:t>
      </w:r>
      <w:r>
        <w:rPr>
          <w:color w:val="000000"/>
          <w:sz w:val="24"/>
          <w:szCs w:val="24"/>
        </w:rPr>
        <w:br/>
        <w:t xml:space="preserve">S</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position w:val="4"/>
          <w:sz w:val="21"/>
          <w:szCs w:val="21"/>
        </w:rPr>
        <w:t xml:space="preserve">2-</w:t>
      </w:r>
      <w:r>
        <w:rPr>
          <w:color w:val="000000"/>
          <w:sz w:val="24"/>
          <w:szCs w:val="24"/>
        </w:rPr>
        <w:t xml:space="preserve">+4IO</w:t>
      </w:r>
      <w:r>
        <w:rPr>
          <w:color w:val="000000"/>
          <w:position w:val="-4"/>
          <w:sz w:val="21"/>
          <w:szCs w:val="21"/>
          <w:vertAlign w:val="subscript"/>
        </w:rPr>
        <w:t xml:space="preserve">4</w:t>
      </w:r>
      <w:r>
        <w:rPr>
          <w:color w:val="000000"/>
          <w:position w:val="4"/>
          <w:sz w:val="21"/>
          <w:szCs w:val="21"/>
        </w:rPr>
        <w:t xml:space="preserve">-</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w:t>
      </w:r>
      <w:r>
        <w:rPr>
          <w:color w:val="000000"/>
          <w:position w:val="-3"/>
          <w:sz w:val="24"/>
          <w:szCs w:val="24"/>
        </w:rPr>
        <w:drawing>
          <wp:inline distT="0" distB="0" distL="0" distR="0">
            <wp:extent cx="172800" cy="79200"/>
            <wp:docPr id="98552263" name="name150c01eb813538" descr="imgtmp_17333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7333_hu_3.gif"/>
                    <pic:cNvPicPr/>
                  </pic:nvPicPr>
                  <pic:blipFill>
                    <a:blip r:embed="rId150c01eb8134fa" cstate="print"/>
                    <a:stretch>
                      <a:fillRect/>
                    </a:stretch>
                  </pic:blipFill>
                  <pic:spPr>
                    <a:xfrm>
                      <a:off x="0" y="0"/>
                      <a:ext cx="172800" cy="79200"/>
                    </a:xfrm>
                    <a:prstGeom prst="rect">
                      <a:avLst/>
                    </a:prstGeom>
                    <a:ln w="0">
                      <a:noFill/>
                    </a:ln>
                  </pic:spPr>
                </pic:pic>
              </a:graphicData>
            </a:graphic>
          </wp:inline>
        </w:drawing>
      </w:r>
      <w:r>
        <w:rPr>
          <w:color w:val="000000"/>
          <w:sz w:val="24"/>
          <w:szCs w:val="24"/>
        </w:rPr>
        <w:t xml:space="preserve"> 2SO</w:t>
      </w:r>
      <w:r>
        <w:rPr>
          <w:color w:val="000000"/>
          <w:position w:val="-4"/>
          <w:sz w:val="21"/>
          <w:szCs w:val="21"/>
          <w:vertAlign w:val="subscript"/>
        </w:rPr>
        <w:t xml:space="preserve">4</w:t>
      </w:r>
      <w:r>
        <w:rPr>
          <w:color w:val="000000"/>
          <w:position w:val="4"/>
          <w:sz w:val="21"/>
          <w:szCs w:val="21"/>
        </w:rPr>
        <w:t xml:space="preserve">2-</w:t>
      </w:r>
      <w:r>
        <w:rPr>
          <w:color w:val="000000"/>
          <w:sz w:val="24"/>
          <w:szCs w:val="24"/>
        </w:rPr>
        <w:t xml:space="preserve">+4IO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+2H</w:t>
      </w:r>
      <w:r>
        <w:rPr>
          <w:color w:val="000000"/>
          <w:position w:val="4"/>
          <w:sz w:val="21"/>
          <w:szCs w:val="21"/>
          <w:vertAlign w:val="superscript"/>
        </w:rPr>
        <w:t xml:space="preserve">+</w:t>
      </w:r>
      <w:r>
        <w:rPr>
          <w:color w:val="000000"/>
          <w:sz w:val="24"/>
          <w:szCs w:val="24"/>
        </w:rPr>
        <w:t xml:space="preserve">.</w:t>
      </w:r>
    </w:p>
    <w:p>
      <w:pPr>
        <w:pBdr/>
        <w:spacing w:before="240" w:after="240" w:line="240" w:lineRule="auto"/>
        <w:ind w:left="0" w:right="0"/>
        <w:jc w:val="left"/>
      </w:pPr>
      <w:r>
        <w:rPr>
          <w:color w:val="000000"/>
          <w:sz w:val="24"/>
          <w:szCs w:val="24"/>
        </w:rPr>
        <w:t xml:space="preserve">A vártnak megfelelően a reagensek bizonyos kezdeti koncentrációinál a reakció úgy viselkedik, mint egy klasszikus órareakció, ám a jód jellegzetes színe a megjelenés után a lassú tetrationát-jód reakció miatt fokozatosan eltűnik, nem állandósul. Kinetikai méréseink során igazoltuk, hogy a reakció kezdeti sebessége független a pH-tól, ám a további lépésekben jelentős pH-függés tapasztalható. A megfigyelés, hogy a reakció kezdeti szakasza, ahol a legjelentősebb folyamat maga az indítóreakció a két reaktáns között, egy korábbi tanulmánnyal -- amely a H</w:t>
      </w:r>
      <w:r>
        <w:rPr>
          <w:color w:val="000000"/>
          <w:position w:val="4"/>
          <w:sz w:val="21"/>
          <w:szCs w:val="21"/>
          <w:vertAlign w:val="superscript"/>
        </w:rPr>
        <w:t xml:space="preserve">+</w:t>
      </w:r>
      <w:r>
        <w:rPr>
          <w:color w:val="000000"/>
          <w:sz w:val="24"/>
          <w:szCs w:val="24"/>
        </w:rPr>
        <w:t xml:space="preserve">-ion "szuperkatalitikus" viselkedését feltételezi -- nincs összhangban. Megmutattuk azt is, hogy a mért abszorbancia-idő görbék 3 jól elkülöníthető szakaszból állnak, amelyek mindegyikét értelmezni tudtuk a javasolt 28 lépéses modellel.</w:t>
      </w:r>
    </w:p>
    <w:p>
      <w:pPr>
        <w:pBdr/>
        <w:spacing w:before="240" w:after="240" w:line="240" w:lineRule="auto"/>
        <w:ind w:left="0" w:right="0"/>
        <w:jc w:val="left"/>
      </w:pPr>
      <w:r>
        <w:rPr>
          <w:color w:val="000000"/>
          <w:sz w:val="24"/>
          <w:szCs w:val="24"/>
        </w:rPr>
        <w:t xml:space="preserve">A dolgozat során bemutatott munka az első olyan átfogó tanulmánynak tekinthető, amely megpróbálkozik ezen rendkívül bonyolult reakció kvantitatív leírására zárt rendszerben és pufferelt közegben. Az általunk felállított kinetikai modell azonban további finomításokra szorul, hiszen nem képes például értelmezni a reakció második kinetikai szakaszában tapasztalható jelentős pufferhatást. Ezért az effektusért nagy valószínűséggel az ezt a szakaszt irányító általános savkatalizált folyamatok (hipojódossav reakciói) a felelősek. A kutatás végső célja, hogy a jelen modell ésszerű egyszerűsítésével olyan relatívan egyszerű kinetikai modellt kapjunk, amely a tioszulfát-perjodát reakció CSTR-beli (folyamatosan kevert tankreaktor) oszcillációs viselkedését kvantitatívan értelmezni képes.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43795">
    <w:multiLevelType w:val="hybridMultilevel"/>
    <w:lvl w:ilvl="0" w:tplc="27002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43795">
    <w:abstractNumId w:val="14643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789886" Type="http://schemas.openxmlformats.org/officeDocument/2006/relationships/numbering" Target="numbering.xml"/><Relationship Id="rId150c01eb810f03" Type="http://schemas.openxmlformats.org/officeDocument/2006/relationships/image" Target="media/imgrId150c01eb810f03.gif"/><Relationship Id="rId150c01eb81231f" Type="http://schemas.openxmlformats.org/officeDocument/2006/relationships/image" Target="media/imgrId150c01eb81231f.gif"/><Relationship Id="rId150c01eb8134fa" Type="http://schemas.openxmlformats.org/officeDocument/2006/relationships/image" Target="media/imgrId150c01eb8134fa.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