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SZALAI</w:t>
            </w:r>
          </w:p>
          <w:p w:rsidR="00C275A3" w:rsidRDefault="00A96AEC" w:rsidP="00C275A3">
            <w:pPr>
              <w:pStyle w:val="Hallgatokepzes"/>
            </w:pPr>
            <w:r>
              <w:t>History</w:t>
            </w:r>
            <w:r>
              <w:br/>
            </w:r>
            <w:r w:rsidR="00E77B23">
              <w:t>MSc, 9. semester</w:t>
            </w:r>
          </w:p>
          <w:p w:rsidR="00C265CE" w:rsidRPr="009E5FF1" w:rsidRDefault="00E77B23" w:rsidP="00C275A3">
            <w:pPr>
              <w:pStyle w:val="Hallgatokepzes"/>
              <w:rPr>
                <w:b/>
                <w:caps/>
              </w:rPr>
            </w:pPr>
            <w:r>
              <w:t>Ferenc Rákóczi II. Transcarpathian Hungarian Institue</w:t>
            </w:r>
            <w:r w:rsidR="00C275A3">
              <w:br/>
            </w:r>
            <w:r w:rsidR="00DB4822">
              <w: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Ibolya Nagy Szamborovszky</w:t>
            </w:r>
          </w:p>
          <w:p w:rsidR="00DB4822" w:rsidRDefault="00DB4822" w:rsidP="00E11062">
            <w:pPr>
              <w:pStyle w:val="Konzulensek"/>
            </w:pPr>
            <w:r w:rsidRPr="00DB4822">
              <w:t>docent, HT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issue of the content of modern textbook model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Abstract</w:t>
      </w:r>
    </w:p>
    <w:p>
      <w:pPr>
        <w:widowControl w:val="on"/>
        <w:pBdr/>
        <w:spacing w:before="240" w:after="240" w:line="240" w:lineRule="auto"/>
        <w:ind w:left="0" w:right="0"/>
        <w:jc w:val="left"/>
      </w:pPr>
      <w:r>
        <w:rPr>
          <w:color w:val="000000"/>
          <w:sz w:val="24"/>
          <w:szCs w:val="24"/>
        </w:rPr>
        <w:br/>
        <w:t xml:space="preserve">The explosive increase in the volume and changes of recently required competencies and criteria in textbook research alongside with the international development of education naturally direct our attention to the textbooks which is used and published in Ukraine. The aim of the recent study is to gather knowledge about the tendencies of Central European textbook research, which method with the help of synthesis was applied in school history textbooks. The relevance and social exploitation of the research is not only to discover the omissions and mistakes in textbooks and realize its obsolescence on international level, moreover it also helps and serves as a model for those who wish to deal with history textbooks on conceptual and theoretical level.</w:t>
      </w:r>
    </w:p>
    <w:p>
      <w:pPr>
        <w:widowControl w:val="on"/>
        <w:pBdr/>
        <w:spacing w:before="240" w:after="240" w:line="240" w:lineRule="auto"/>
        <w:ind w:left="0" w:right="0"/>
        <w:jc w:val="left"/>
      </w:pPr>
      <w:r>
        <w:rPr>
          <w:color w:val="000000"/>
          <w:sz w:val="24"/>
          <w:szCs w:val="24"/>
        </w:rPr>
        <w:t xml:space="preserve">In the recent study we approached the position of modern Ukrainian history textbooks (dealing with the XX. century) from several angles. We focused on eight history textbooks in the article. The decisive criterion for selection were the presentation, more precisely, the comparison of textbooks, written for general-academic and specialized secondary education.Furthermore, the research is based on complex criteria, because it examined the textbooks from mostly specialized and to lesser extent didactic sides. In addition the overview includes an important, to say, a modern textbook study area - the textbook as a teaching tool in favour of international understanding. In the article the readers gain insight into the results of the critical-analytical – constructive systematic study of textbooks, which is offered not as a critical review, but as a pursuit of modernization for those, who are interested in the topic.</w:t>
      </w:r>
    </w:p>
    <w:p>
      <w:pPr>
        <w:widowControl w:val="on"/>
        <w:pBdr/>
        <w:spacing w:before="240" w:after="240" w:line="240" w:lineRule="auto"/>
        <w:ind w:left="0" w:right="0"/>
        <w:jc w:val="left"/>
      </w:pPr>
      <w:r>
        <w:rPr>
          <w:color w:val="000000"/>
          <w:sz w:val="24"/>
          <w:szCs w:val="24"/>
        </w:rPr>
        <w:t xml:space="preserve">Therefore, further information can be gained from content gaps, its correlations and about our way forwards which is eligible us to identify the path of progress.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93472">
    <w:multiLevelType w:val="hybridMultilevel"/>
    <w:lvl w:ilvl="0" w:tplc="62427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93472">
    <w:abstractNumId w:val="681934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57580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