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HORVÁTH</w:t>
            </w:r>
          </w:p>
          <w:p w:rsidR="00C275A3" w:rsidRDefault="00A96AEC" w:rsidP="00C275A3">
            <w:pPr>
              <w:pStyle w:val="Hallgatokepzes"/>
            </w:pPr>
            <w:r>
              <w:t>mathematics</w:t>
            </w:r>
            <w:r>
              <w:br/>
            </w:r>
            <w:r w:rsidR="00E77B23">
              <w:t>MSc, 9. semester</w:t>
            </w:r>
          </w:p>
          <w:p w:rsidR="00C265CE" w:rsidRPr="009E5FF1" w:rsidRDefault="00E77B23" w:rsidP="00C275A3">
            <w:pPr>
              <w:pStyle w:val="Hallgatokepzes"/>
              <w:rPr>
                <w:b/>
                <w:caps/>
              </w:rPr>
            </w:pPr>
            <w:r>
              <w:t>Ferenc Rákóczi II. Transcarpathian Hungarian Institute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Ildikó Orosz</w:t>
            </w:r>
          </w:p>
          <w:p w:rsidR="00DB4822" w:rsidRDefault="00DB4822" w:rsidP="00E11062">
            <w:pPr>
              <w:pStyle w:val="Konzulensek"/>
            </w:pPr>
            <w:r w:rsidRPr="00DB4822">
              <w:t>associate professor, HT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life and career of the students graduated from Ferenc Rákóczi II. Transcarpathian Hungarian Institute on Mathematics, Geography and Biology Faculties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Transcarpathia the Hungarian newly graduated people should face with the fact, that in their Motherland, in order to start a job they must use the state language. It is a big problem among them. It is rather difficult in the case when they studied only in Hungarian. A great step was when the Transcarpathian Hungarian Teacher Training College (THTTC; now Ferenc Rákóczi II. Transcarpathian Hungarian Institute) was founded, it proved that after the foundation THTTC increased the number of Hungarian students in the higher education. It has a big role in the Transcarpathians Hungarians remaining in their native land, the education of the local Hungarian intellectuals, and to solve the problem of lack of teachers in the local Hungarian schools.</w:t>
      </w:r>
    </w:p>
    <w:p>
      <w:pPr>
        <w:pBdr/>
        <w:spacing w:before="240" w:after="240" w:line="240" w:lineRule="auto"/>
        <w:ind w:left="0" w:right="0"/>
        <w:jc w:val="left"/>
      </w:pPr>
      <w:r>
        <w:rPr>
          <w:color w:val="000000"/>
          <w:sz w:val="24"/>
          <w:szCs w:val="24"/>
        </w:rPr>
        <w:t xml:space="preserve">In my work I present the system Ukrainian higher education, the state of the higher education in Transcarpathia and the history of the THTTC. Apart from that in my research I present the results of the focus groups interviews betweens the Mathematics, Geography and Biology seniors. And finally I present the results the survey conducted to the graduated student’s life and career after the Institute.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99321">
    <w:multiLevelType w:val="hybridMultilevel"/>
    <w:lvl w:ilvl="0" w:tplc="73829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99321">
    <w:abstractNumId w:val="811993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236966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