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MÁRIA CSÁSZÁR</w:t>
            </w:r>
          </w:p>
          <w:p w:rsidR="00C275A3" w:rsidRDefault="00A96AEC" w:rsidP="00C275A3">
            <w:pPr>
              <w:pStyle w:val="Hallgatokepzes"/>
            </w:pPr>
            <w:r>
              <w:t>slavistic studies russian - theory and history of film</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Faluhelyi</w:t>
            </w:r>
          </w:p>
          <w:p w:rsidR="00DB4822" w:rsidRDefault="00DB4822" w:rsidP="00E11062">
            <w:pPr>
              <w:pStyle w:val="Konzulensek"/>
            </w:pPr>
            <w:r w:rsidRPr="00DB4822">
              <w:t>assistant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of the Korean Society in the Animations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South Korea is the one of the dinamic, strong and developing states in the area of history, economy and culture. The proof is Hallyu, the south korean wawe, this special cultural expansionism have already reached Europe and Hungary also, therefore the theme of paper is actual.</w:t>
      </w:r>
    </w:p>
    <w:p>
      <w:pPr>
        <w:pBdr/>
        <w:spacing w:before="240" w:after="240" w:line="240" w:lineRule="auto"/>
        <w:ind w:left="0" w:right="0"/>
        <w:jc w:val="left"/>
      </w:pPr>
      <w:r>
        <w:rPr>
          <w:color w:val="000000"/>
          <w:sz w:val="24"/>
          <w:szCs w:val="24"/>
        </w:rPr>
        <w:t xml:space="preserve">If the presence of a culture sensibly around the world, its necessary that study of  its attributes and organism of society and the external influences, these essay uses the help of books and south korean animations knowing that area, where appear transnational influences, the religious symbiosis, the base of ethic and moral, which collectively activate society and keep going, but drawing of the hictorical background is necessary too. Several scenes of the korean animation and the identity of adolescents will be submitted and get significant role in the paper.</w:t>
      </w:r>
    </w:p>
    <w:p>
      <w:pPr>
        <w:pBdr/>
        <w:spacing w:before="240" w:after="240" w:line="240" w:lineRule="auto"/>
        <w:ind w:left="0" w:right="0"/>
        <w:jc w:val="left"/>
      </w:pPr>
      <w:r>
        <w:rPr>
          <w:color w:val="000000"/>
          <w:sz w:val="24"/>
          <w:szCs w:val="24"/>
        </w:rPr>
        <w:t xml:space="preserve">Main chapters of the paper introduce the social, religious and cultural points, the progress of south korean animation, emergence of transnational influences and the images of adolescents. Finally the essay shows a new aspect of south korean animation regarding tales and mitological concerns.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75280">
    <w:multiLevelType w:val="hybridMultilevel"/>
    <w:lvl w:ilvl="0" w:tplc="60308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75280">
    <w:abstractNumId w:val="85075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411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