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TAKÁCS</w:t>
            </w:r>
          </w:p>
          <w:p w:rsidR="00C275A3" w:rsidRDefault="00A96AEC" w:rsidP="00C275A3">
            <w:pPr>
              <w:pStyle w:val="Hallgatokepzes"/>
            </w:pPr>
            <w:r>
              <w:t>Commerce and Marketing</w:t>
            </w:r>
            <w:r>
              <w:br/>
            </w:r>
            <w:r w:rsidR="00E77B23">
              <w:t>BA, 3.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Glózer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Fila Is All Around Us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study – written by me – consists three major parts. First, I wanted to find out if we could describe the wearing of Fila bags as „Fashion” according to definitions, made by the most well known fashion sociologists, such as Nystrom, Daniels or Sproles. Second, I examined whether the common promotion with Tesco had an effect on the popularity of Fila-brand in Hungary or not. In this marketing-based argument I use the concept of brand devaluation and brand terror among others to reveal the present value of Fila. The third major part of this paper puts emphasis on network culture and internet folklore, in order to understand the enthusiasm and the antipathy environing the Tesco-Fila promotion. It turns out that Internet, as nowadays main medium, played a very important role in creating a negative attitude towards the whole Fila-brand and costumers wearing it day after 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24058">
    <w:multiLevelType w:val="hybridMultilevel"/>
    <w:lvl w:ilvl="0" w:tplc="72060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24058">
    <w:abstractNumId w:val="29224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9961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