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HANGA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Feischmidt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Félretett kísérlet: a várpalotai Trianon-múzeum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múzeumnak mint tudományos és ismeretterjesztő intézménynek számos dologgal kell rendelkezni ahhoz, hogy ne csak nevében legyen múzeum: gyűjtés, kategorizálás, restaurálás, tudásközvetítés, emlékezés, kutatás, érzelem és intenciómentes elemzés, nyilvánosság, publikálás, konferenciák, kiadványok, értelmező szövegek, többnyelvű feliratok, múzeumpedagógia és így tovább. A Trianon Múzeum tekinthető-e ebben az értelemben múzeumnak, vagy valami más: gyűjtemény, kiállítás, zarándokhely, kegyhely? Netán poszttraumás önterápia helyszíne? Vagy a historizáló nemzet(újjá)építés eszköze? Vagy ezek keveredése?</w:t>
      </w:r>
      <w:r>
        <w:rPr>
          <w:color w:val="000000"/>
          <w:sz w:val="24"/>
          <w:szCs w:val="24"/>
        </w:rPr>
        <w:br/>
        <w:t xml:space="preserve">A dolgozatban kísérletet teszünk arra, hogy a - kibontakozó politikai szándék fényében - a múzeumban láthatóvá tett Trianon-diskurzus recepciója által felvetett kérdésekre sokrétű választ adjunk.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72036">
    <w:multiLevelType w:val="hybridMultilevel"/>
    <w:lvl w:ilvl="0" w:tplc="56329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72036">
    <w:abstractNumId w:val="61372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906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