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MOLNAR</w:t>
            </w:r>
          </w:p>
          <w:p w:rsidR="00C275A3" w:rsidRDefault="00A96AEC" w:rsidP="00C275A3">
            <w:pPr>
              <w:pStyle w:val="Hallgatokepzes"/>
            </w:pPr>
            <w:r>
              <w:t>Faculty of History</w:t>
            </w:r>
            <w:r>
              <w:br/>
            </w:r>
            <w:r w:rsidR="00E77B23">
              <w:t>MA, 7.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Endre Sashalmi</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allegory of the divine right kingship and the virtuous government in Henry Peacham’s Minerva Britanna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analyzes the political emblems of Minerva Britanna, the emblem book written by Henry Peacham in 1612, through which we can have an insight into the state symbolism of James I. Peacham’s work was widely acknowledged as the most sophisticated English emblem book, and in addition to that it provides a good base source for the iconographic study of monarchy by divine right as the emblems served as a popular media for expressing political and religious doctrines.</w:t>
      </w:r>
      <w:r>
        <w:rPr>
          <w:color w:val="000000"/>
          <w:sz w:val="24"/>
          <w:szCs w:val="24"/>
        </w:rPr>
        <w:br/>
        <w:t xml:space="preserve">The Minerva Britanna was written to demonstrate the conception of early Stuart royal power. However not only emblems, but several other representative works were ought to present the virtue of the baroque court, and tried to create an ideal picture about the perfect Christian ruler. For this, these works were mostly based on the religious symbolism to represent and legitimate the king’s divine right power. Thus the state assumed the position of having the right to select myths and symbols in order to stage its new ambitions.</w:t>
      </w:r>
      <w:r>
        <w:rPr>
          <w:color w:val="000000"/>
          <w:sz w:val="24"/>
          <w:szCs w:val="24"/>
        </w:rPr>
        <w:br/>
        <w:t xml:space="preserve">In this period political power had been disguised in metaphors. The ruler, regarded as an embodiment of the state, was the equivalent of examples of supreme quality, and mythologies, as well as religios symbols were used to submit examples of identification. This form of royal representation thus produced a specific imagery and ensured that the king would become the incarnation of the state, its power and authority.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57843">
    <w:multiLevelType w:val="hybridMultilevel"/>
    <w:lvl w:ilvl="0" w:tplc="89310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57843">
    <w:abstractNumId w:val="26557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431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