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KELEMEN</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Gőzsy</w:t>
            </w:r>
          </w:p>
          <w:p w:rsidR="00DB4822" w:rsidRDefault="00DB4822" w:rsidP="00E11062">
            <w:pPr>
              <w:pStyle w:val="Konzulensek"/>
            </w:pPr>
            <w:r w:rsidRPr="00DB4822">
              <w:t>senior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church-politic of a Hungarian state, aspect of a village-parson, especially in the 1950-s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make an attempt to demonstrate a carreer of an average parson (parish priest), who wasn’t a victim of the communism dictatorship, but didn’t cooperate with the „priest’s peace movement”.</w:t>
      </w:r>
      <w:r>
        <w:rPr>
          <w:color w:val="000000"/>
          <w:sz w:val="24"/>
          <w:szCs w:val="24"/>
        </w:rPr>
        <w:br/>
        <w:t xml:space="preserve">His carreer shows perhaps an average parson-life, the carreer of the most of priests. We can find a few example for this, therefore maybe a nuanced picture of the 50’s can be demonstrated.</w:t>
      </w:r>
      <w:r>
        <w:rPr>
          <w:color w:val="000000"/>
          <w:sz w:val="24"/>
          <w:szCs w:val="24"/>
        </w:rPr>
        <w:br/>
        <w:t xml:space="preserve">My essay also supplies new details and unknown particulars in order to analyze the relationship between the Hungarian state and the catholic Church, the carreer of the people of the church, and for the local history of a north-western Hungarian village, Sopronkövesd also. The central theme of the essay is: how did the church-political decisions and the attempt for repress the Church shaped the behaviour and personality of a village-pastor, János Derdák parson of Sopronkövesd (1937–1966). My research is first aimed at the parson’s personality, but includes closely processes, for example the attitude the believer and non-believer community and the priest, the relationship between political power and local Church, as well as the factors, which influence the life of the communities. The cooperation of the political organizations and local Church is observating in a local level too. This attitude was followed by changed behaviour, observation and control in the following years. In the 50’s there was a sharp turning in the relationship between state and Church. All of these things I would like to show through the example of Sopronkövesd’s parish priest.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64061">
    <w:multiLevelType w:val="hybridMultilevel"/>
    <w:lvl w:ilvl="0" w:tplc="10994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64061">
    <w:abstractNumId w:val="88364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757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