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MÁRKUS</w:t>
            </w:r>
          </w:p>
          <w:p w:rsidR="00C275A3" w:rsidRDefault="00A96AEC" w:rsidP="00C275A3">
            <w:pPr>
              <w:pStyle w:val="Hallgatokepzes"/>
            </w:pPr>
            <w:r>
              <w:t>History MA</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Vitári</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„Malenkij robot” – Deportation of the civil population from the County Baranya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is about the deportation of the civil population from the County Baranya into the Soviet Union after the Second World War, especially on the basis of undiscovered local archival sources. Despite the fact that on 16th December 1944, Stalin ordered the mobilization of only the german minority, the implementation took place in the entire territory of the ethnical heterogenous county, including the absolutely Hungarian settlements too.</w:t>
      </w:r>
    </w:p>
    <w:p>
      <w:pPr>
        <w:widowControl w:val="on"/>
        <w:pBdr/>
        <w:spacing w:before="240" w:after="240" w:line="240" w:lineRule="auto"/>
        <w:ind w:left="0" w:right="0"/>
        <w:jc w:val="left"/>
      </w:pPr>
      <w:r>
        <w:rPr>
          <w:color w:val="000000"/>
          <w:sz w:val="24"/>
          <w:szCs w:val="24"/>
        </w:rPr>
        <w:t xml:space="preserve">The literature (which is based mainly on oral history interviews and sources of national archives) doesn’t search for an answer (nor give one) to the question, that how could demobilised soldiers and hungarian nationalities end up in soviet lagers as germans, because the historians deem these affairs as a result of an ambiguous era. The local research gives answers to all of these questions, shows the geographical and historical correlations of the affairs and ascertains the question: who was cosidered as German in 1944 in County Baranya?</w:t>
      </w:r>
    </w:p>
    <w:p>
      <w:pPr>
        <w:widowControl w:val="on"/>
        <w:pBdr/>
        <w:spacing w:before="240" w:after="240" w:line="240" w:lineRule="auto"/>
        <w:ind w:left="0" w:right="0"/>
        <w:jc w:val="left"/>
      </w:pPr>
      <w:r>
        <w:rPr>
          <w:color w:val="000000"/>
          <w:sz w:val="24"/>
          <w:szCs w:val="24"/>
        </w:rPr>
        <w:t xml:space="preserve">I present the result of this research, which enables a more objective, less emotional judgement of the affairs.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74600">
    <w:multiLevelType w:val="hybridMultilevel"/>
    <w:lvl w:ilvl="0" w:tplc="73433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74600">
    <w:abstractNumId w:val="876746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5670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