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VÁSÁRHELYI</w:t>
            </w:r>
          </w:p>
          <w:p w:rsidR="00C275A3" w:rsidRDefault="00A96AEC" w:rsidP="00C275A3">
            <w:pPr>
              <w:pStyle w:val="Hallgatokepzes"/>
            </w:pPr>
            <w:r>
              <w:t>ethnography, specialization in cultural anthropology</w:t>
            </w:r>
            <w:r>
              <w:br/>
            </w:r>
            <w:r w:rsidR="00E77B23">
              <w:t>MA, 5.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Farkas</w:t>
            </w:r>
          </w:p>
          <w:p w:rsidR="00DB4822" w:rsidRDefault="00DB4822" w:rsidP="00E11062">
            <w:pPr>
              <w:pStyle w:val="Konzulensek"/>
            </w:pPr>
            <w:r w:rsidRPr="00DB4822">
              <w:t>assistant teacher,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„You live without principles, my principles will be the death of me” – Theories of the Post-subcultural Turn through the Analysis of Hardcore Punk and Straight Edge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According to the post-subcultural theories an important change occured in the sphere of the phenomena which was treated by social sciences in the frame of subcultural studies. These theories affirm that community has been replaced by sociality, the need for sociability inhered, but being also a whole different, less stable system of relations. In the so-called post-subcultures authenticity and commitment do not have much relevance anymore, young people typically switch their attachments according to their spontaneous veins and needs. As a consequence of the registration of the change, the use of subculture as a theoretical frame has been queried, and several new terms have been created to replace subculture in the course of the debate concerning the designations.</w:t>
      </w:r>
    </w:p>
    <w:p>
      <w:pPr>
        <w:pBdr/>
        <w:spacing w:before="240" w:after="240" w:line="240" w:lineRule="auto"/>
        <w:ind w:left="0" w:right="0"/>
        <w:jc w:val="left"/>
      </w:pPr>
      <w:r>
        <w:rPr>
          <w:color w:val="000000"/>
          <w:sz w:val="24"/>
          <w:szCs w:val="24"/>
        </w:rPr>
        <w:t xml:space="preserve">The aim of my paper is to study the complex relationship between hardcore punk and its integral part Straight Edge in an empirical way that – based on my hypothesis – can open the door for verifying the use of the theories and terms emerging in the polemics (first of all, the designations subculture and scene) and also for modulating the post-subculturalist triad of fluidity, multiplicity and temporality often applied in the theories but poorly verified or denied by anthropological fieldwork.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872789">
    <w:multiLevelType w:val="hybridMultilevel"/>
    <w:lvl w:ilvl="0" w:tplc="126472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872789">
    <w:abstractNumId w:val="988727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41009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