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TOKAI</w:t>
            </w:r>
          </w:p>
          <w:p w:rsidR="00C275A3" w:rsidRDefault="00A96AEC" w:rsidP="00C275A3">
            <w:pPr>
              <w:pStyle w:val="Hallgatokepzes"/>
            </w:pPr>
            <w:r>
              <w:t>psychology </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Révész, Dr.</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Talent: in context of creativity, intelligence and mastery motivation.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models which are getting together the maincomponents of talent, usually contain innate factors such asabilities, intelligence. On the other hand, there are other factors, such as learning, exercise, development by means of unfolding, and other areas which have ipact on an above-average performance.</w:t>
      </w:r>
    </w:p>
    <w:p>
      <w:pPr>
        <w:pBdr/>
        <w:spacing w:before="240" w:after="240" w:line="240" w:lineRule="auto"/>
        <w:ind w:left="0" w:right="0"/>
        <w:jc w:val="left"/>
      </w:pPr>
      <w:r>
        <w:rPr>
          <w:color w:val="000000"/>
          <w:sz w:val="24"/>
          <w:szCs w:val="24"/>
        </w:rPr>
        <w:t xml:space="preserve">Various theories of giftedness emphasize the importance of the social environment, school and the family in the development of the child's abilities and talent. These social factors have great effect of the child's intellect, creativity and special skills and motivation.</w:t>
      </w:r>
    </w:p>
    <w:p>
      <w:pPr>
        <w:pBdr/>
        <w:spacing w:before="240" w:after="240" w:line="240" w:lineRule="auto"/>
        <w:ind w:left="0" w:right="0"/>
        <w:jc w:val="left"/>
      </w:pPr>
      <w:r>
        <w:rPr>
          <w:color w:val="000000"/>
          <w:sz w:val="24"/>
          <w:szCs w:val="24"/>
        </w:rPr>
        <w:t xml:space="preserve">In our research we worked with primary school children, from 10 to 14 years, one half of them are with outstanding performance. The other half are the so-called latent talented children. They also have high abilities, but for some unknown reason these abilities are not unfolded. </w:t>
      </w:r>
    </w:p>
    <w:p>
      <w:pPr>
        <w:pBdr/>
        <w:spacing w:before="240" w:after="240" w:line="240" w:lineRule="auto"/>
        <w:ind w:left="0" w:right="0"/>
        <w:jc w:val="left"/>
      </w:pPr>
      <w:r>
        <w:rPr>
          <w:color w:val="000000"/>
          <w:sz w:val="24"/>
          <w:szCs w:val="24"/>
        </w:rPr>
        <w:br/>
        <w:t xml:space="preserve">Our result showed that there is no significant difference between the two groups in intelligence and crativity, but there is difenercy in mastery motivation. High abilities children showed higher mastery motivation, than the other, latent alented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24439">
    <w:multiLevelType w:val="hybridMultilevel"/>
    <w:lvl w:ilvl="0" w:tplc="44848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24439">
    <w:abstractNumId w:val="54124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632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