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FEHÉR</w:t>
            </w:r>
          </w:p>
          <w:p w:rsidR="00C275A3" w:rsidRDefault="00A96AEC" w:rsidP="00C275A3">
            <w:pPr>
              <w:pStyle w:val="Hallgatokepzes"/>
            </w:pPr>
            <w:r>
              <w:t>psychology</w:t>
            </w:r>
            <w:r>
              <w:br/>
            </w:r>
            <w:r w:rsidR="00E77B23">
              <w:t>BA, 5.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HELGA FABIAN</w:t>
            </w:r>
          </w:p>
          <w:p w:rsidR="00DB4822" w:rsidRDefault="00C275A3" w:rsidP="004D7940">
            <w:pPr>
              <w:pStyle w:val="Hallgatokepzes"/>
            </w:pPr>
            <w:r>
              <w:t>psychology</w:t>
            </w:r>
            <w:r w:rsidR="00A96AEC">
              <w:br/>
              <w:t>BA, 5.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Faculty of Humanities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György Révész</w:t>
            </w:r>
          </w:p>
          <w:p w:rsidR="00DB4822" w:rsidRDefault="00DB4822" w:rsidP="00E11062">
            <w:pPr>
              <w:pStyle w:val="Konzulensek"/>
            </w:pPr>
            <w:r w:rsidRPr="00DB4822">
              <w:t>associate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hungarian adaptation of the male body attitude scale (MBAS)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There is a limited amount of studies of the male body image. The current study intends to measure the physical attitude with the psychometrically evaluated Hungarian version of the Male Body Attitude Scale (MBAS). After the adaptation procedure we assessed in the first study the validity of the questionnaire on a sample of 232 young, male Hungarian adults. We've found that the validity of the Hungarian translation of total 24-item MBAS was good (alpha = 0.88). In the second study (N = 86) we evaluated the temporal stability test–retest reliability of the MBAS, to assess the test–retest reliability of this measure. Results indicated that the total scale (r = 0.93) and subscales (muscularity, body fat and height) demonstrated adequate test–retest reliability. Hence, these findings of the first two studies support the supported the internal consistency reliability of the MBAS.</w:t>
      </w:r>
    </w:p>
    <w:p>
      <w:pPr>
        <w:pBdr/>
        <w:spacing w:before="240" w:after="240" w:line="240" w:lineRule="auto"/>
        <w:ind w:left="0" w:right="0"/>
        <w:jc w:val="left"/>
      </w:pPr>
      <w:r>
        <w:rPr>
          <w:color w:val="000000"/>
          <w:sz w:val="24"/>
          <w:szCs w:val="24"/>
        </w:rPr>
        <w:t xml:space="preserve">The third study examined the scores of the MBAS along five hypotheses. We compared the scores of the total scale and subscales with the diverse sports habits, the use building products, the body mass index and education and found that the MBAS is sensitive to the differences between the different groups.</w:t>
      </w:r>
    </w:p>
    <w:p>
      <w:pPr>
        <w:pBdr/>
        <w:spacing w:before="240" w:after="240" w:line="240" w:lineRule="auto"/>
        <w:ind w:left="0" w:right="0"/>
        <w:jc w:val="left"/>
      </w:pPr>
      <w:r>
        <w:rPr>
          <w:color w:val="000000"/>
          <w:sz w:val="24"/>
          <w:szCs w:val="24"/>
        </w:rPr>
        <w:t xml:space="preserve">Finally, two subclinical studies of the questionnaire were investigated within the framework of the applicability of developmental psychology and cognitive psychology. For study of the relationship between the body image and aggression of adolescent boys (N = 78), we used the MBAS together with the Buss and Perry aggression questionnaire, and a figure-test, where the boys were asked to tick their currently perceived muscularity. The results confirmed our assumption that there is a difference in the manifestations of the various forms of aggressive behaviour depending on the scores achieved in the MBAS.</w:t>
      </w:r>
    </w:p>
    <w:p>
      <w:pPr>
        <w:pBdr/>
        <w:spacing w:before="240" w:after="240" w:line="240" w:lineRule="auto"/>
        <w:ind w:left="0" w:right="0"/>
        <w:jc w:val="left"/>
      </w:pPr>
      <w:r>
        <w:rPr>
          <w:color w:val="000000"/>
          <w:sz w:val="24"/>
          <w:szCs w:val="24"/>
        </w:rPr>
        <w:t xml:space="preserve">In the course of our cognitive research we looked at the difference between the physical attitude of athletes and average men (N = 482) in the light of the MBAS and the somatomorphic matrix (SM). Both of these instruments showed a distinction between the groups, and the result were mutually confirmed by the two measures.</w:t>
      </w:r>
    </w:p>
    <w:p>
      <w:pPr>
        <w:pBdr/>
        <w:spacing w:before="240" w:after="240" w:line="240" w:lineRule="auto"/>
        <w:ind w:left="0" w:right="0"/>
        <w:jc w:val="left"/>
      </w:pPr>
      <w:r>
        <w:rPr>
          <w:color w:val="000000"/>
          <w:sz w:val="24"/>
          <w:szCs w:val="24"/>
        </w:rPr>
        <w:t xml:space="preserve">The MBAS provides an outlook towards the studies of modern cognitive psychology, the effect on the individual and the study draws attention to the importance of the male body image disorders. The MBAS can help in the future to detect body image dissatisfactions at an early stage; the temporal stability may help monitoring the changing body image during the therapy.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873874">
    <w:multiLevelType w:val="hybridMultilevel"/>
    <w:lvl w:ilvl="0" w:tplc="424955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873874">
    <w:abstractNumId w:val="408738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51658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