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HODÁK VENCEL</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Földi András</w:t>
            </w:r>
          </w:p>
          <w:p w:rsidR="00DB4822" w:rsidRDefault="00DB4822" w:rsidP="00E11062">
            <w:pPr>
              <w:pStyle w:val="Konzulensek"/>
            </w:pPr>
            <w:r w:rsidRPr="00DB4822">
              <w:t>egyetemi tanár,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actio de pauperie és az állatkárokért való felelősség egyéb formái a római jogban</w:t>
      </w:r>
    </w:p>
    <w:p w:rsidR="00D71DF5" w:rsidRDefault="00D71DF5" w:rsidP="00AD2602">
      <w:pPr>
        <w:jc w:val="both"/>
      </w:pPr>
    </w:p>
    <w:p>
      <w:pPr>
        <w:pBdr/>
        <w:spacing w:before="240" w:after="240" w:line="240" w:lineRule="auto"/>
        <w:ind w:left="0" w:right="0"/>
        <w:jc w:val="left"/>
      </w:pPr>
      <w:r>
        <w:rPr>
          <w:color w:val="000000"/>
          <w:sz w:val="24"/>
          <w:szCs w:val="24"/>
        </w:rPr>
        <w:t xml:space="preserve">A Dolgozat a latin nyelvű források történeti és dogmatikai szemléletű elemzésével – a témára koncentrálva, hosszabb terjedelemben magyar nyelven első ízben – bemutatja az állatok általi károkozások esetén alkalmazható egyes actiókat és az azokkal kapcsolatos vitatott kérdéseket, kiemelt figyelmet és hangsúlyt fordítva az actio de pauperiére.</w:t>
      </w:r>
    </w:p>
    <w:p>
      <w:pPr>
        <w:pBdr/>
        <w:spacing w:before="240" w:after="240" w:line="240" w:lineRule="auto"/>
        <w:ind w:left="0" w:right="0"/>
        <w:jc w:val="left"/>
      </w:pPr>
      <w:r>
        <w:rPr>
          <w:color w:val="000000"/>
          <w:sz w:val="24"/>
          <w:szCs w:val="24"/>
        </w:rPr>
        <w:t xml:space="preserve">Az állatkárok nyomán keletkezett jogsérelmek orvoslására lehetőséget biztosító keresetek közül az actio de pauperie volt a legjelentősebb. Ez a kereset már a XII táblás törvényben (8, 6) is megtalálható volt, és fontosságából nem vesztve a Digestában (9,1) és Iustinianus Institutióiban (4,9) is külön titulust alkot. A szabályozás körébe kezdetben csupán néhány meghatározott fajtájú állat által okozott speciális kárfajta tartozott, az évszázadok során később ezen folyamatosan bővítettek. Az actio mindvégig megőrizte eredeti karakterét és sajátosságait, amelyek közül az egyik legjellemzőbb a kereset noxalitása volt. Az actio de pauperie noxalitása azonban fölveti a rómaiak állatokhoz való viszonyulásának kérdését, ugyanis a noxális szabályozás több eleme (pl. a noxae deditio liberatiót eredményező hatása; az, hogy ha az állat a litis contestatio előtt elpusztult, a kereset nem volt megindítható stb.) arra enged következtetni, hogy a rómaiak felelősnek tartották az állatot az általa okozott kárért. Ez azonban teljes mértékben ellentétes a klasszikus kori racionális római jogászi gondolkodásmóddal, amely szerint a kárt okozó állat nem tekinthető vétkesnek, mivel nem rendelkezik értelemmel (ld. Ulp. D. 9, 1, 1, 3; Ulp. D. 9, 2, 5, 2). Ezen probléma vizsgálatán túlmenően az actio de pauperie kapcsán a dolgozat egyebek mellett a szabályozás körébe vont állatok és kárfajták kérdését, eljárási szabályokat, és az állattartó felelősségének problematikáját is tárgyalja.</w:t>
      </w:r>
    </w:p>
    <w:p>
      <w:pPr>
        <w:pBdr/>
        <w:spacing w:before="240" w:after="240" w:line="240" w:lineRule="auto"/>
        <w:ind w:left="0" w:right="0"/>
        <w:jc w:val="left"/>
      </w:pPr>
      <w:r>
        <w:rPr>
          <w:color w:val="000000"/>
          <w:sz w:val="24"/>
          <w:szCs w:val="24"/>
        </w:rPr>
        <w:t xml:space="preserve">A tilosba belegelő állat károkozása szintén már a XII táblás törvényben szabályozást nyert. Ebben az esetben a jogsérelmet szenvedett fél rendelkezésére a noxális actio de pastu pecoris állt. A dolgozat az actio de pastu pecorisen túl bemutatja az aedilis curulis által a vadállatok károkozása esetére megalkotott edictum de feris alapján indítható actiót, valamint a lex Pesolania tárgyalása révén foglalkozik a – római jog állatkárokkal kapcsolatos szabályozási rendszere szempontjából problematikus – kutyák károkozásának kérdésével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05040">
    <w:multiLevelType w:val="hybridMultilevel"/>
    <w:lvl w:ilvl="0" w:tplc="56435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05040">
    <w:abstractNumId w:val="57805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809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