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VENCEL HODÁK</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Földi</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actio de pauperie and the other forms of liability for damages caused by animals in Roman law</w:t>
      </w:r>
    </w:p>
    <w:p w:rsidR="00D71DF5" w:rsidRDefault="00D71DF5" w:rsidP="00AD2602">
      <w:pPr>
        <w:jc w:val="both"/>
      </w:pPr>
    </w:p>
    <w:p>
      <w:pPr>
        <w:pBdr/>
        <w:spacing w:before="240" w:after="240" w:line="240" w:lineRule="auto"/>
        <w:ind w:left="0" w:right="0"/>
        <w:jc w:val="left"/>
      </w:pPr>
      <w:r>
        <w:rPr>
          <w:color w:val="000000"/>
          <w:sz w:val="24"/>
          <w:szCs w:val="24"/>
        </w:rPr>
        <w:t xml:space="preserve">This paper presents – for the first time longer in Hungarian – through the dogmatic and historic examination of the Latin sources the applicable actions of Roman law in cases of damages caused by animals and the academic debates on this issue, with emphasis on the actio de pauperie.</w:t>
      </w:r>
    </w:p>
    <w:p>
      <w:pPr>
        <w:pBdr/>
        <w:spacing w:before="240" w:after="240" w:line="240" w:lineRule="auto"/>
        <w:ind w:left="0" w:right="0"/>
        <w:jc w:val="left"/>
      </w:pPr>
      <w:r>
        <w:rPr>
          <w:color w:val="000000"/>
          <w:sz w:val="24"/>
          <w:szCs w:val="24"/>
        </w:rPr>
        <w:t xml:space="preserve">The most significant action of those that were offered in cases of damages caused by animals was the actio de pauperie. This action was already included in the Law of the Twelve Tables (8, 6), and remaining still important it can be found in the Digest (9, 1) and in the Institutes of Justinian (4, 9). At the beginning only a few domestic animals and also only a few types of damages composed the actio de pauperie, but later on it was broadened. The action conserved its original peculiar features all the while, one of those was the noxality of the action. The question then arises from the noxality of the actio de pauperie as to whether the Romans had an anthropomorphic attitude or a rational attitude towards animals. Beyond the question of anthropomorphism the paper deals with – among others – the question of the regulated types of animals and types of damages, procedural rules, and the question of the owner’s liability.</w:t>
      </w:r>
    </w:p>
    <w:p>
      <w:pPr>
        <w:pBdr/>
        <w:spacing w:before="240" w:after="240" w:line="240" w:lineRule="auto"/>
        <w:ind w:left="0" w:right="0"/>
        <w:jc w:val="left"/>
      </w:pPr>
      <w:r>
        <w:rPr>
          <w:color w:val="000000"/>
          <w:sz w:val="24"/>
          <w:szCs w:val="24"/>
        </w:rPr>
        <w:t xml:space="preserve">The cattle-trespass was also regulated in the Law of the Twelve Tables. In this case the actio de pastu pecoris could be applied by the aggrieved party. Beyond the actio de pastu pecoris the paper presents the action that was applicable – pursuant to the edictum de feris of the aedilis curulis – in the case of damage caused by a wild animal, and through the examination of the lex Pesolania the paper discusses the problematic question of the damages caused by dogs.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17075">
    <w:multiLevelType w:val="hybridMultilevel"/>
    <w:lvl w:ilvl="0" w:tplc="65948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17075">
    <w:abstractNumId w:val="51917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75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