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SZILVIA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Emptio venditio a hellenisztikus provinciák gyakorlatában? A szerződéstípusok találkozásának néhány kérdése az egyiptomi praxis és a jogtudomány forrásainak tükrében, különös tekintettel a vételár-hitelezés mellett megkötött adásvételi szerződésekre.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 és jogtudomány által kidolgozott tiszta jogi alakzatok kevéssé igazak a praxisban megjelenő konstrukciókra. Erre már az ókorból ismerünk példát, így az egyiptomi joggyakorlatból is.</w:t>
      </w:r>
      <w:r>
        <w:rPr>
          <w:color w:val="000000"/>
          <w:sz w:val="24"/>
          <w:szCs w:val="24"/>
        </w:rPr>
        <w:br/>
        <w:t xml:space="preserve">Az egyiptomi papiruszok jogában nem található meg a római jog adásvétele, az emptio venditio, amelynél a puszta consensus elég a contractus létrejöttéhez. Az adásvétel létrehozására más formákat alkalmaztak még a római uralom korában is. Felmerülhet a kérdés, hogy vajon miért nem volt elég a görög jogban a consensus. A válasz a jogfilozófiai kategóriák között keresendő, nevezetesen a bona fides elvében.</w:t>
      </w:r>
      <w:r>
        <w:rPr>
          <w:color w:val="000000"/>
          <w:sz w:val="24"/>
          <w:szCs w:val="24"/>
        </w:rPr>
        <w:br/>
        <w:t xml:space="preserve">A római jogtudomány által kidolgozott emptio venditio és a provinciai gyakorlatban megfigyelhető adásvételi szerződés célú megoldások között számos eltérés figyelhető meg. A legfontosabb eltérés a szerződés alaki kellékeiben keresendő, az ún. civilis causában. A római jog szerződésként ismerte el a konszenzuál szerződéseket, melyek esetében a puszta megegyezés (conventio) a consensus által megerősítve képezte a szerződés alapját. Ez azonban nem nyert elismerést a görög jog által befolyásolt provinciák gyakorlatában. Ennek alapján elmondható, hogy az adásvételi szerződés a görög jog által befolyásolt területeken nem konszenzuál szerződésként jelenik meg, hanem alakszerű, írásbeli szerződésként, ún. litterálaktusként (pl. syngrapha, chirographum, homologia).</w:t>
      </w:r>
      <w:r>
        <w:rPr>
          <w:color w:val="000000"/>
          <w:sz w:val="24"/>
          <w:szCs w:val="24"/>
        </w:rPr>
        <w:br/>
        <w:t xml:space="preserve">A görög jog és az egyiptomi provinciális gyakorlat is csak a készvételt ismerte el, amely azonban nem felelt meg a gyakorlati igényeknek, így kialakultak különböző megoldások: mint a hitelre vétel (Kreditkauf) illetve jövőbeli időpontra halasztott szállítási szerződések (Lieferungskauf). Ez a két konstrukció megoldást kínált a perelhetőségre.</w:t>
      </w:r>
      <w:r>
        <w:rPr>
          <w:color w:val="000000"/>
          <w:sz w:val="24"/>
          <w:szCs w:val="24"/>
        </w:rPr>
        <w:br/>
        <w:t xml:space="preserve">A fiktív kölcsönként („fiktives Darlehen”) beállított adásvételi szerződéseknél, ha az eladó hitelezi a vételárat és az adásvételt egy fiktív kölcsönnel egyesíti, az adásvétel alapján nincs keresete, csak a kölcsön alapján perelhet. Ez azt jelenti, hogy mivel a kölcsön alapján lehet igényt érvényesíteni, a kölcsön abszorbeálja az adásvételt. A fiktív jogügylet alapján kerül megítélésre a szerződés.</w:t>
      </w:r>
      <w:r>
        <w:rPr>
          <w:color w:val="000000"/>
          <w:sz w:val="24"/>
          <w:szCs w:val="24"/>
        </w:rPr>
        <w:br/>
        <w:t xml:space="preserve">Kérdéses, hogy ez az abszorbeálódás ténylegesen megvalósult-e vagy pusztán egy értelmezési kérdésként merült fel, mint azt a Codex Iustinianus számos rendelete is tanúsítja. További kérdésként merül fel, hogy a jogtudomány vajon érzékelte-e az ókorban a problémát, és a Digestában találhatóak-e olyan jogtudósi vélemények, melyek ebben a kérdésben állást foglalnak.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52375">
    <w:multiLevelType w:val="hybridMultilevel"/>
    <w:lvl w:ilvl="0" w:tplc="17670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52375">
    <w:abstractNumId w:val="34752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46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