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SZILVIA NEMES</w:t>
            </w:r>
          </w:p>
          <w:p w:rsidR="00C275A3" w:rsidRDefault="00A96AEC" w:rsidP="00C275A3">
            <w:pPr>
              <w:pStyle w:val="Hallgatokepzes"/>
            </w:pPr>
            <w:r>
              <w:t>law</w:t>
            </w:r>
            <w:r>
              <w:br/>
            </w:r>
            <w:r w:rsidR="00E77B23">
              <w:t>Unified, 9. semester</w:t>
            </w:r>
          </w:p>
          <w:p w:rsidR="00C265CE" w:rsidRPr="009E5FF1" w:rsidRDefault="00E77B23" w:rsidP="00C275A3">
            <w:pPr>
              <w:pStyle w:val="Hallgatokepzes"/>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András Földi</w:t>
            </w:r>
          </w:p>
          <w:p w:rsidR="00DB4822" w:rsidRDefault="00DB4822" w:rsidP="00E11062">
            <w:pPr>
              <w:pStyle w:val="Konzulensek"/>
            </w:pPr>
            <w:r w:rsidRPr="00DB4822">
              <w:t>professor,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Emptio venditio in the legal practice of the hellenistic Egypt?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construction of the legal practice and the pure legal formation of the legal science show many differences, since the practice do not use the pure formation made by jurists. There are examples from the ancient times as the contracts of the ancient societies, for instance of Egypt.</w:t>
      </w:r>
      <w:r>
        <w:rPr>
          <w:color w:val="000000"/>
          <w:sz w:val="24"/>
          <w:szCs w:val="24"/>
        </w:rPr>
        <w:br/>
        <w:t xml:space="preserve">In the law of the Egyptian papyri we can hardly find the Roman emptio venditio, which for the contractus requires only the formless consensus of the parties. In the Roman period the legal practice still applied other forms. The question arises, whether in the greek law of sale the consensus was not sufficient. The answer lies in the legal philosophical categories, namely in the principle of bona fides.</w:t>
      </w:r>
      <w:r>
        <w:rPr>
          <w:color w:val="000000"/>
          <w:sz w:val="24"/>
          <w:szCs w:val="24"/>
        </w:rPr>
        <w:br/>
        <w:t xml:space="preserve">Numerous differences may be observed between the emptio venditio developed by the Roman legal science and the solutions for sale contract used in provincial practice. The major point can be found in its formality, in the so-called civilis causa. The Roman law acknowledged the consensual contracts as contractus in which cases the mere agreement (conventio) confirmed by the consensus meant the ground of the contract. This was not acknowledged in the legal practice influenced by greek law. The binding contracts which give rise to an action require appropriate formality. Sale in the legal practice does not appear as a formless contract, but as a fomal written contract (syngrapha, chirographum, homologia).</w:t>
      </w:r>
      <w:r>
        <w:rPr>
          <w:color w:val="000000"/>
          <w:sz w:val="24"/>
          <w:szCs w:val="24"/>
        </w:rPr>
        <w:br/>
        <w:t xml:space="preserve">The sale of the greek law and the Egyptian legal practice was cash sale which does not comply with the requirements of trade. Therefore various solutions were developed such as sale on credit (Kreditkauf) and contract with deffered delivery (Lieferungskauf). These two constructions offered a solution for litigation.</w:t>
      </w:r>
      <w:r>
        <w:rPr>
          <w:color w:val="000000"/>
          <w:sz w:val="24"/>
          <w:szCs w:val="24"/>
        </w:rPr>
        <w:br/>
        <w:t xml:space="preserve">In the case of sale contracts as fictitious loans („fiktives Darlehen”) if the seller credited the purchase price and combined the sale with a ficticious loan for him an action was not granted on the ground of the sale but on the ground of the loan. Since demands can be enforced based on the loan, as a result the loan absorbs the sale. The contract should be assessed on the basis of the fictitious legal act.</w:t>
      </w:r>
      <w:r>
        <w:rPr>
          <w:color w:val="000000"/>
          <w:sz w:val="24"/>
          <w:szCs w:val="24"/>
        </w:rPr>
        <w:br/>
        <w:t xml:space="preserve">The question is whether this absorption actually occured or it is merely a question of interpretation, usually provided by the constitutions of the Codex Iustinianus. A further question arises: the legal science detected the problem in the antiquity and in the Digest are there any legal expert opinions which stand on these issues.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103234">
    <w:multiLevelType w:val="hybridMultilevel"/>
    <w:lvl w:ilvl="0" w:tplc="515876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103234">
    <w:abstractNumId w:val="801032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01177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