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VERES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Hoffman J.D. </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Public Law instruments of city governance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public law instruments of city governance. In the dominant states of Europe (such as Germany, France or Sweden) it has been a core task of the public administration to establish instruments that can improve the efficacy of the public services in the cities and their conurbations for nearly half a century. These models provide solutions for the economies of scale with the merger of municipalities or the creation of the wide range of associations (or with the combination of these practices).</w:t>
      </w:r>
      <w:r>
        <w:rPr>
          <w:color w:val="000000"/>
          <w:sz w:val="24"/>
          <w:szCs w:val="24"/>
        </w:rPr>
        <w:br/>
        <w:t xml:space="preserve">Although the cooperation of the private and public sector (namely the private law instruments) is also well-known solution to organize public services, it is reasonable to provide public law instruments too. Despite the fact that in Hungary the legal conditions are ideal for the reform of public instruments – because the regional level has been transformed in a similar way to the western countries - creating an ideal model is hampered by several factors.</w:t>
      </w:r>
      <w:r>
        <w:rPr>
          <w:color w:val="000000"/>
          <w:sz w:val="24"/>
          <w:szCs w:val="24"/>
        </w:rPr>
        <w:br/>
        <w:t xml:space="preserve">Studying public law instruments is not only interesting but also relevant. This field of research is interesting because the topic does not have a wide range of literature, and most of them are based on urban study aspects. The relevance derives from the fact that the new municipal law (namely Act on Local Governments of Hungary) restructured the municipal system and in this new structure new forms of city governance could be placed. Unlike in Hungary, western associations are able to handle some special tasks concerning public services and have special characters and privileges; thus they could be good samples for reforming our national regulations. To decide whether these constructions could be adapted into the national legal system (partly or completely), it is necessary to examine the antecedent of city governance and the last 20 years of the municipal associations. Although the new municipal law seems to re-establish the roles of towns and cities, it is not only unambiguous if it follows the western patterns, but in some aspects it also goes against them. The question is if under these circumstances the democratic and effective city governance can resuscitate.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05879">
    <w:multiLevelType w:val="hybridMultilevel"/>
    <w:lvl w:ilvl="0" w:tplc="50540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05879">
    <w:abstractNumId w:val="52005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17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