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ROKOB</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Barabás </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Review of local ordinances after the reorganization of administration of justice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result of recent cardinal legislation the procedural rules and mechanisms of the review of local ordinances have been changed. In my essay I describe the main amendments and the practice of the Constitutional Court and the Curia in the past few months, along with a short theoretical and legal historical introduction and international outlook.</w:t>
      </w:r>
      <w:r>
        <w:rPr>
          <w:color w:val="000000"/>
          <w:sz w:val="24"/>
          <w:szCs w:val="24"/>
        </w:rPr>
        <w:br/>
        <w:t xml:space="preserve">Since local governments play an important role in the everyday life of citizens as the administrators of public affairs at a local level, it is very important for them to be kept under legal control. The aim of the essay is to analyze, whether the amended procedural system of reviewing local ordinances is capable of functioning: to properly handle the arising infringements and to remedy citizens’ complaints. Along with exploring problematic points, I tried to present different legislative possibilities by comparative method and de lege ferenda proposals.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01569">
    <w:multiLevelType w:val="hybridMultilevel"/>
    <w:lvl w:ilvl="0" w:tplc="46293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01569">
    <w:abstractNumId w:val="67501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88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