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SZAMEK GABRIELLA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Bándi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Kiotói Jegyzőkönyvre épülő kvótakereskedés eljárási szabályai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egyik kihívása az éghajlatváltozás, évtizedek óta küzdünk az üvegházhatású gázok kibocsátásának csökkentéréért.</w:t>
      </w:r>
      <w:r>
        <w:rPr>
          <w:color w:val="000000"/>
          <w:sz w:val="24"/>
          <w:szCs w:val="24"/>
        </w:rPr>
        <w:br/>
        <w:t xml:space="preserve">Fontos mérföldkő az 1992-es Riói Éghajlatváltozási Keretegyezmény és 1997-es Kiotói Jegyzőkönyv. A jegyzőkönyv megosztja mind a politikai élet szereplőit, mind a környezetvédőket, számos bírálat érte, további léte is kérdéses.</w:t>
      </w:r>
      <w:r>
        <w:rPr>
          <w:color w:val="000000"/>
          <w:sz w:val="24"/>
          <w:szCs w:val="24"/>
        </w:rPr>
        <w:br/>
        <w:t xml:space="preserve">A dolgozatban áttekintem, az első klímavédelmi egyezmény megszületésének körülményeit, melynek lényege, hogy a klímavédelmi törekvések eredményessége nagyban függ attól, hogy az hajt-e hasznot az egyes résztvevőknek. Bevezeti a közös, de megkülönböztetett felelősség fogalmát, amely azóta a nemzetközi környezetjog egyik alapelve.</w:t>
      </w:r>
      <w:r>
        <w:rPr>
          <w:color w:val="000000"/>
          <w:sz w:val="24"/>
          <w:szCs w:val="24"/>
        </w:rPr>
        <w:br/>
        <w:t xml:space="preserve">Kitérek arra, hogy a fenntartható fejlődés fogalma miként kapcsolódott össze a köznyelvben a klímavédelemmel.</w:t>
      </w:r>
      <w:r>
        <w:rPr>
          <w:color w:val="000000"/>
          <w:sz w:val="24"/>
          <w:szCs w:val="24"/>
        </w:rPr>
        <w:br/>
        <w:t xml:space="preserve">Bemutatom a Kiotói Jegyzőkönyv aláírásához vezető utat, és a hatályba lépése óta folytatott tárgyalásokat. Választ keresek arra, hogy a gazdasági növekedés fétise mely országokat tart távol még mindig az ahhoz való csatlakozástól.</w:t>
      </w:r>
      <w:r>
        <w:rPr>
          <w:color w:val="000000"/>
          <w:sz w:val="24"/>
          <w:szCs w:val="24"/>
        </w:rPr>
        <w:br/>
        <w:t xml:space="preserve">Az Európai Unió Bíróságának joggyakorlata alapján bemutatom az EU-s környezetvédelmi alapelveket, és összhangjukat a jegyzőkönyvvel.</w:t>
      </w:r>
      <w:r>
        <w:rPr>
          <w:color w:val="000000"/>
          <w:sz w:val="24"/>
          <w:szCs w:val="24"/>
        </w:rPr>
        <w:br/>
        <w:t xml:space="preserve">Ismertetem a Kiotói Jegyzőkönyv gazdasági integrációs szervezetekre vonatkozó fontos rendelkezéseit, és azt, hogy mi az „EU buborék”.</w:t>
      </w:r>
      <w:r>
        <w:rPr>
          <w:color w:val="000000"/>
          <w:sz w:val="24"/>
          <w:szCs w:val="24"/>
        </w:rPr>
        <w:br/>
        <w:t xml:space="preserve">Bemutatom a legfontosabb, a klímaváltozással kapcsolatos irányelveket, és érdekességként egy merőben új technológiát és szabályozását: a CO2 geológiai tárolásáról szóló irányelvet. Rávilágítok, hogy miért tartom ellentétesnek a Kiotói Jegyzőkönyvvel eme új tendenciát.</w:t>
      </w:r>
      <w:r>
        <w:rPr>
          <w:color w:val="000000"/>
          <w:sz w:val="24"/>
          <w:szCs w:val="24"/>
        </w:rPr>
        <w:br/>
        <w:t xml:space="preserve">A hazai szabályozást a 2005. évi XV. tv. és a 213/2006. (X.27.) Korm. rend. alapján vázolom. Ismertetem a kvóta szerzés folyamatát, a Nemzeti Kiosztási Tervet, a Nemzeti Kiosztási Listát és a Nemzeti Forgalmi Jegyzéket. Tárgyalom a Ket. hatályát a környezetvédelmi ill. a klímaügyekre. Elhatárolom egymástól az integrált szemléletű környezetvédelmi és a kibocsátási engedélyeket. A hazai környezetvédelmi intézményrendszer bemutatásakor ismertetem az Országos Környezetvédelmi Természetvédelmi és Vízügyi Főfelügyelet Emisszió-kereskedelmi Osztályának feladatait. Bemutatom a hitelesítési tevékenységet, ill. a hitelesítőket és eljárási helyzetük bizonytalanságát.</w:t>
      </w:r>
      <w:r>
        <w:rPr>
          <w:color w:val="000000"/>
          <w:sz w:val="24"/>
          <w:szCs w:val="24"/>
        </w:rPr>
        <w:br/>
        <w:t xml:space="preserve">Végezetül ismertetem a hazai és a nemzetközi kereskedés menetét, a kvóta jegyzésére szakosodott tőzsdék forgalmát és a kereslet-kínálat érvényesülését.</w:t>
      </w:r>
      <w:r>
        <w:rPr>
          <w:color w:val="000000"/>
          <w:sz w:val="24"/>
          <w:szCs w:val="24"/>
        </w:rPr>
        <w:br/>
        <w:t xml:space="preserve">A zárszóban vázolom a de lege ferenda javaslataimat, és véleményemet: miért szükséges a klímavédelemmel foglalkoznunk.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75221">
    <w:multiLevelType w:val="hybridMultilevel"/>
    <w:lvl w:ilvl="0" w:tplc="11214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75221">
    <w:abstractNumId w:val="950752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162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