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ÁGOST BENKHARD</w:t>
            </w:r>
          </w:p>
          <w:p w:rsidR="00C275A3" w:rsidRDefault="00A96AEC" w:rsidP="00C275A3">
            <w:pPr>
              <w:pStyle w:val="Hallgatokepzes"/>
            </w:pPr>
            <w:r>
              <w:t>Faculty of Law</w:t>
            </w:r>
            <w:r>
              <w:br/>
            </w:r>
            <w:r w:rsidR="00E77B23">
              <w:t>Unified, 2.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Nagypál PhD</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Question of the Fourth Power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paper is to show, explain and confirm the alternative meanings of the term ‘fourth power’, and, by doing so, to shed light on the roles of media and religion in our society from a different perspective in order to confirm their huge importance both in everyday life, as well as in the world of politics.</w:t>
      </w:r>
      <w:r>
        <w:rPr>
          <w:color w:val="000000"/>
          <w:sz w:val="24"/>
          <w:szCs w:val="24"/>
        </w:rPr>
        <w:br/>
        <w:t xml:space="preserve">The paper examines the so-called fourth power beginning with Edmund Burke’s theory about the fourth estate, comparing it to the classical three powers, and showing the similarities and differences between them.</w:t>
      </w:r>
      <w:r>
        <w:rPr>
          <w:color w:val="000000"/>
          <w:sz w:val="24"/>
          <w:szCs w:val="24"/>
        </w:rPr>
        <w:br/>
        <w:t xml:space="preserve">Afterwards, the paper presents the specialities and characteristics of the fourth power through the media as its most representative form, and through this, it can define the main aspects of the fourth power, while showing the possibility of a wider meaning of this term.</w:t>
      </w:r>
      <w:r>
        <w:rPr>
          <w:color w:val="000000"/>
          <w:sz w:val="24"/>
          <w:szCs w:val="24"/>
        </w:rPr>
        <w:br/>
        <w:t xml:space="preserve">To confirm all this, the paper compares the activities of the media (mostly in the modern age) and of Christianity in Europe; and at the same time it reveals their separate functions concerning their setup, their history, as well as their relations to society, politics and to each other.</w:t>
      </w:r>
      <w:r>
        <w:rPr>
          <w:color w:val="000000"/>
          <w:sz w:val="24"/>
          <w:szCs w:val="24"/>
        </w:rPr>
        <w:br/>
        <w:t xml:space="preserve">As a result of the research, the paper focuses on the possibility of the regulation of the fourth power as a final academic question, examines the moral and functional dimensions of it, and tries to make suggestions on how it could be phrased in an alternative way in a democratic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73687">
    <w:multiLevelType w:val="hybridMultilevel"/>
    <w:lvl w:ilvl="0" w:tplc="88965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73687">
    <w:abstractNumId w:val="876736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7280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