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BOZSÓ ILDIKÓ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Erdős István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alapvető szerződésszegés és gyakorlata a Bécsi Vételi Egyezmény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1980-ban létrehozott Az ingó dolgok nemzetközi adásvételi szerződéseire vonatkozó bécsi ENSZ-egyezmény által központi jogintézményként szabályozott alapvető szerződésszegés szabályozásának bemutatása, a Bécsi Vételi Egyezmény szerinti definíció vizsgálata, összehasonlítása az alapvető szerződésszegés más egyezményekben megjelenő szabályozásával, valamint a jogintézményhez kapcsolódó bírói gyakorlat bemutatása.</w:t>
      </w:r>
      <w:r>
        <w:rPr>
          <w:color w:val="000000"/>
          <w:sz w:val="24"/>
          <w:szCs w:val="24"/>
        </w:rPr>
        <w:br/>
        <w:t xml:space="preserve">A Bécsi Vételi Egyezmény a nemzetközi adásvételi szerződésjogra vonatkozó egységesítési folyamat kiemelkedő eredménye. A folyamat és a később tárgyalt egyezmények megismerése céljából, a dolgozatomban első körben az említett egységesítési törekvéseket vázolom fel.</w:t>
      </w:r>
      <w:r>
        <w:rPr>
          <w:color w:val="000000"/>
          <w:sz w:val="24"/>
          <w:szCs w:val="24"/>
        </w:rPr>
        <w:br/>
        <w:t xml:space="preserve">A problémafelvetésben azt vizsgálom, hogy a szerződésszegő fél hogyan tud szabadulni a szerződéses kötelemből, milyen megoldások alkalmazhatók a kártérítés mértékének csökkentésére.</w:t>
      </w:r>
      <w:r>
        <w:rPr>
          <w:color w:val="000000"/>
          <w:sz w:val="24"/>
          <w:szCs w:val="24"/>
        </w:rPr>
        <w:br/>
        <w:t xml:space="preserve">A felvázolt kérdéskör tekintetében három dokumentumban vizsgálom meg a kötelemből való szabadulás biztosítására szolgáló jogintézményeket. A három kiemelt dokumentum az UNIDROIT keretében létrejött Nemzetközi Kereskedelmi Szerződések Alapelvei, az Európai Bizottság javaslata a Common Europen Sales Law elfogadására és a Bécsi Vételi Egyezmény.A dolgozat célja az utóbbi szabályozásának kiemeltebb elemzése. Ennek indoka, hogy a Bécsi Vételi Egyezmény a másik két dokumentumnál időben hamarabb keletkezett, így hatást gyakorolt rájuk. Másrészt a Bécsi Vételi Egyezmény kötelező jelleggel rendelkezik. Harmadrészt már rendelkezik egy 1988 óta folyamatosan bővülő joggyakorlattal, ami iránymutatást jelent azokban a kérdésekben, ahol a jogszabályszöveg alapján joghézagok merülnek fel.</w:t>
      </w:r>
      <w:r>
        <w:rPr>
          <w:color w:val="000000"/>
          <w:sz w:val="24"/>
          <w:szCs w:val="24"/>
        </w:rPr>
        <w:br/>
        <w:t xml:space="preserve">Végül Bécsi Vételi Egyezmény hatását vizsgálom, a nemzeti jogok közül az új magyar Ptk.-ra tett hatást, változást is felmérem.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703714">
    <w:multiLevelType w:val="hybridMultilevel"/>
    <w:lvl w:ilvl="0" w:tplc="11655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703714">
    <w:abstractNumId w:val="54703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48106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