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BOZSÓ</w:t>
            </w:r>
          </w:p>
          <w:p w:rsidR="00C275A3" w:rsidRDefault="00A96AEC" w:rsidP="00C275A3">
            <w:pPr>
              <w:pStyle w:val="Hallgatokepzes"/>
            </w:pPr>
            <w:r>
              <w:t>jurisprudence</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Erdős</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regulation and jurisprudence on Vienna Convention on the International Sale of Goods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research is that studying the regulation of fundamental breach of contract on the Vienna Convention on the International Sale of Goods and other similar Conventions (for example: UNIDROIT Principles, Commission Proposal for a “Regulation on a Common European. Sales Law", Uniform Commercial Code, Principles of European Contract Law) and the domestic laws.</w:t>
      </w:r>
      <w:r>
        <w:rPr>
          <w:color w:val="000000"/>
          <w:sz w:val="24"/>
          <w:szCs w:val="24"/>
        </w:rPr>
        <w:br/>
        <w:t xml:space="preserve">Vienna Convention on the International Sale of Goods (1980) is an outstanding result of the unification of international trade law.</w:t>
      </w:r>
      <w:r>
        <w:rPr>
          <w:color w:val="000000"/>
          <w:sz w:val="24"/>
          <w:szCs w:val="24"/>
        </w:rPr>
        <w:br/>
        <w:t xml:space="preserve">In my research I provide an examination of the earlier and later conventions in order to know the progress of unification and the impact of the Vienna Convention on the International Sale of Goods.</w:t>
      </w:r>
      <w:r>
        <w:rPr>
          <w:color w:val="000000"/>
          <w:sz w:val="24"/>
          <w:szCs w:val="24"/>
        </w:rPr>
        <w:br/>
        <w:t xml:space="preserve">My work focuses on the solutions for the breaching party to relieve from the obligation. This question is expounded after the introductions in order to know the most important legal institution for the relieving from the obligation.</w:t>
      </w:r>
      <w:r>
        <w:rPr>
          <w:color w:val="000000"/>
          <w:sz w:val="24"/>
          <w:szCs w:val="24"/>
        </w:rPr>
        <w:br/>
        <w:t xml:space="preserve">My research emphasizes three legal documents which regulate the fundamental breach. Vienna Convention on the International Sale of Goods, UNIDROIT Principles, Common European Sales Law provide similar regulations. The reason why my research purpose is the deeper examination of Vienna Convention is that the Vienna Convention is earlier adopted than the other documents therefore it has broader jurisprudence.</w:t>
      </w:r>
      <w:r>
        <w:rPr>
          <w:color w:val="000000"/>
          <w:sz w:val="24"/>
          <w:szCs w:val="24"/>
        </w:rPr>
        <w:br/>
        <w:t xml:space="preserve">Finally my work provides an examination of the impact of Vienna Conventions.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17051">
    <w:multiLevelType w:val="hybridMultilevel"/>
    <w:lvl w:ilvl="0" w:tplc="10374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17051">
    <w:abstractNumId w:val="16017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891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