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MATITS KORNÉL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Egyéb,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országgyűlési képviselőcsoportok - Szabályozás és gyakorlat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2010-ben megalakult magyar Országgyűlés nem kisebb ambíciókkal kezdett neki munkájának, mint a hazai jogrendszer megújítása, felfrissítése, a modern, XXI. századi viszonyokhoz való alakítása.</w:t>
      </w:r>
      <w:r>
        <w:rPr>
          <w:color w:val="000000"/>
          <w:sz w:val="24"/>
          <w:szCs w:val="24"/>
        </w:rPr>
        <w:br/>
        <w:t xml:space="preserve">E koncepció keretein belül született meg az új magyar alkotmány, az Alaptörvény, valamint számos, a közjogi kereteket – ha nem is alapjaiban, de vitathatatlanul – átrajzoló sarkalatos törvény is.</w:t>
      </w:r>
      <w:r>
        <w:rPr>
          <w:color w:val="000000"/>
          <w:sz w:val="24"/>
          <w:szCs w:val="24"/>
        </w:rPr>
        <w:br/>
        <w:t xml:space="preserve">A változások az Országgyűlés közjogi rendszerét s azon belül az országgyűlési képviselőcsoportokat sem hagyták érintetlenül. Ezen módosulások, változások nyomon követésére, feltérképezésére vállalkozik dolgozatom.</w:t>
      </w:r>
      <w:r>
        <w:rPr>
          <w:color w:val="000000"/>
          <w:sz w:val="24"/>
          <w:szCs w:val="24"/>
        </w:rPr>
        <w:br/>
        <w:t xml:space="preserve">Az új Alaptörvény Országgyűlés c. alfejezetében rendelkezik a frakciókról, így döntve el a régi kérdést: az Országgyűlés, avagy a mögötte álló képviselőcsoport szerve-e a frakció? Dolgozatomban kitérek az alkotmányozás folyamatára: hogyan szabályozta a frakciókat a „régi” Alkotmány, mit javasoltak az egyes szakértők, alkotmányjogászok, politikai szereplők által összeállított tervezetek, alkotmánykoncepciók?</w:t>
      </w:r>
      <w:r>
        <w:rPr>
          <w:color w:val="000000"/>
          <w:sz w:val="24"/>
          <w:szCs w:val="24"/>
        </w:rPr>
        <w:br/>
        <w:t xml:space="preserve">Vizsgálom ezen kívül az új országgyűlési törvény, s a módosult Házszabály hatását az országgyűlési képviselőcsoportokra, igyekszem rámutatni az új, meglehetősen gyorsan megalkotott szabályozásban lévő esetleges buktatókra, a szabályozás kapcsán esetlegesen a jövőben jelentkező működési zavarokra s ezek lehetséges megoldásaira.</w:t>
      </w:r>
      <w:r>
        <w:rPr>
          <w:color w:val="000000"/>
          <w:sz w:val="24"/>
          <w:szCs w:val="24"/>
        </w:rPr>
        <w:br/>
        <w:t xml:space="preserve">A frakciókkal kapcsolatos elemzésembe bevonom egy-egy parlamenti párt képviselőcsoportjának szabályzatát is.</w:t>
      </w:r>
      <w:r>
        <w:rPr>
          <w:color w:val="000000"/>
          <w:sz w:val="24"/>
          <w:szCs w:val="24"/>
        </w:rPr>
        <w:br/>
        <w:t xml:space="preserve">A rendszerváltás óta eltelt időszak parlamenti gyakorlatát nyolc – általam fontosnak, érdekesnek vélt – esetet kiragadva igyekszem bemutatni. A parlamenti gyakorlat felvázolásánál munkám támaszkodik az Alkotmánybíróság témám szempontjából releváns határozataira is.</w:t>
      </w:r>
      <w:r>
        <w:rPr>
          <w:color w:val="000000"/>
          <w:sz w:val="24"/>
          <w:szCs w:val="24"/>
        </w:rPr>
        <w:br/>
        <w:t xml:space="preserve">Célom egy olyan dolgozat megalkotása volt, mely érthető, koherens képet ad a frakciójog 2012-es módosulásairól, azonban nem csak a hatályos jogra koncentrál, hanem igyekszik folyamatában szemlélni s bemutatni az elmúlt bő húsz esztendő frakciójoggal kapcsolatos változásait, tendenciáit, szabályozási koncepcióit. Nem pusztán az eddig megszületett tudományos fejtegetések számbavételére vállalkoztam munkában, hanem saját kutatómunkával igyekeztem a frakciók szabályozására hatékonyabb, a gyakorlati és alkotmányos szempontoknak jobban megfelelő szabályozási koncepciót kidolgozni.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31814">
    <w:multiLevelType w:val="hybridMultilevel"/>
    <w:lvl w:ilvl="0" w:tplc="95530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31814">
    <w:abstractNumId w:val="99231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84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