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KORNEL MATITS</w:t>
            </w:r>
          </w:p>
          <w:p w:rsidR="00C275A3" w:rsidRDefault="00A96AEC" w:rsidP="00C275A3">
            <w:pPr>
              <w:pStyle w:val="Hallgatokepzes"/>
            </w:pPr>
            <w:r>
              <w:t>Law</w:t>
            </w:r>
            <w:r>
              <w:br/>
            </w:r>
            <w:r w:rsidR="00E77B23">
              <w:t>Other,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Papp</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Political Groups of the Hungarian Parliament – Regulation and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Hungarian Parliament, formed in 2010, started its work with no smaller ambitions, than the renewal and refreshment of the national legal system, with which it meant to tailor it to the modern, 21st century requirements.</w:t>
      </w:r>
      <w:r>
        <w:rPr>
          <w:color w:val="000000"/>
          <w:sz w:val="24"/>
          <w:szCs w:val="24"/>
        </w:rPr>
        <w:br/>
        <w:t xml:space="preserve">The new Hungarian Constitution, The Fundamental Law of Hungary and several cardinal laws, which significantly – however not fundamentally – redefined the framework of public law, were born under the consideration of this very concept.</w:t>
      </w:r>
      <w:r>
        <w:rPr>
          <w:color w:val="000000"/>
          <w:sz w:val="24"/>
          <w:szCs w:val="24"/>
        </w:rPr>
        <w:br/>
        <w:t xml:space="preserve">The changes did not leave untouched the Parliament’s public law structure, and within that the regulations concerning parliamentary political groups. My paper attempts to track and analyse these modifications and changes.</w:t>
      </w:r>
      <w:r>
        <w:rPr>
          <w:color w:val="000000"/>
          <w:sz w:val="24"/>
          <w:szCs w:val="24"/>
        </w:rPr>
        <w:br/>
        <w:t xml:space="preserve">The ‘Parliament’ section of the new Constitution regulates fractions, thus answering the perennial question: “Is a fraction a body of the Parliament or of the political group backing it?” In my paper I discuss the process of creating the constitution; how fractions were regulated in the previous constitution, the proposals of various experts and constitutional lawyers and various constitutional concepts developed by political figures.</w:t>
      </w:r>
      <w:r>
        <w:rPr>
          <w:color w:val="000000"/>
          <w:sz w:val="24"/>
          <w:szCs w:val="24"/>
        </w:rPr>
        <w:br/>
        <w:t xml:space="preserve">Apart from the above mentioned, I examine the new Parliamentary Law and the effect of the modified House Rules on parliamentary political groups. I also point out the incidental failing points of the new and rather swiftly created regulations, and also the incidental errors in functioning due to these regulations; and I also seek to find the possible solutions to these problems.</w:t>
      </w:r>
      <w:r>
        <w:rPr>
          <w:color w:val="000000"/>
          <w:sz w:val="24"/>
          <w:szCs w:val="24"/>
        </w:rPr>
        <w:br/>
        <w:t xml:space="preserve">I will try to illustrate the Hungarian parliamentary practice of the period that started after the change of regime through eight cases which I consider to be either important or interesting. The examination of parliamentary practice is supported by the examination of the decrees of the Hungarian Constitutional Court relevant to my subject.</w:t>
      </w:r>
      <w:r>
        <w:rPr>
          <w:color w:val="000000"/>
          <w:sz w:val="24"/>
          <w:szCs w:val="24"/>
        </w:rPr>
        <w:br/>
        <w:t xml:space="preserve">My goal was to create a paper which paints a clear and coherent picture of the 2012 modifications of fraction law. I intended not only to concentrate on currently operating laws but also to examine and present the changes, tendencies and regulation concepts of fraction law as a process. In my paper I have not just tried to summarize the existing scientific research in this field, but tried to create a new regulation concept for the regulation of fractions, which – according to my own research – is more efficient and more fitting from both the practical and the constitutional points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89327">
    <w:multiLevelType w:val="hybridMultilevel"/>
    <w:lvl w:ilvl="0" w:tplc="82356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89327">
    <w:abstractNumId w:val="41089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532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