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MILÁNKOVICH</w:t>
            </w:r>
          </w:p>
          <w:p w:rsidR="00C275A3" w:rsidRDefault="00A96AEC" w:rsidP="00C275A3">
            <w:pPr>
              <w:pStyle w:val="Hallgatokepzes"/>
            </w:pPr>
            <w:r>
              <w:t>Law</w:t>
            </w:r>
            <w:r>
              <w:br/>
            </w:r>
            <w:r w:rsidR="00E77B23">
              <w:t>Other,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BOLDIZSÁR SZENTGÁLI-TÓTH</w:t>
            </w:r>
          </w:p>
          <w:p w:rsidR="00DB4822" w:rsidRDefault="00C275A3" w:rsidP="004D7940">
            <w:pPr>
              <w:pStyle w:val="Hallgatokepzes"/>
            </w:pPr>
            <w:r>
              <w:t>Law</w:t>
            </w:r>
            <w:r w:rsidR="00A96AEC">
              <w:br/>
              <w:t>Other,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Kukorelli</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Barna Mezey</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Decorative Element or New Perspectives of Interpretation? - The Historical Dimension of Hungarian Public Law in the Light of the Fundamental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entry into force of the Fundamental Law raises numerous, so far unknown challenges to which the subdiscipline of constitutional law should give satisfying answers. New dimensions are opening in our public law, but these perspectives of interpreting the Fundamental Law also demand more caution from us. The mention of the achievements of the historical constitution in article R), para. (3) requires us to clarify the content and the conceivable applications of this concept. This is only possible if we create a framework that allows for the articulation of the points of view of both the past and the present that aims to consolidate these two dimensions.</w:t>
      </w:r>
    </w:p>
    <w:p>
      <w:pPr>
        <w:pBdr/>
        <w:spacing w:before="240" w:after="240" w:line="240" w:lineRule="auto"/>
        <w:ind w:left="0" w:right="0"/>
        <w:jc w:val="left"/>
      </w:pPr>
      <w:r>
        <w:rPr>
          <w:color w:val="000000"/>
          <w:sz w:val="24"/>
          <w:szCs w:val="24"/>
        </w:rPr>
        <w:t xml:space="preserve">As the wording of article R) para. (3) allows for the representation of widely different opinions, some voices are present in the public discourse which directly reject the practical application, such as the supporters of the revival of ius aviticum and of nobility. In interpreting a principle outlined in the Fundamental Law, the aim cannot be its relativisation, while the rule of law and the protection of legal security does not allow for extremely broad interpretations.</w:t>
      </w:r>
    </w:p>
    <w:p>
      <w:pPr>
        <w:pBdr/>
        <w:spacing w:before="240" w:after="240" w:line="240" w:lineRule="auto"/>
        <w:ind w:left="0" w:right="0"/>
        <w:jc w:val="left"/>
      </w:pPr>
      <w:r>
        <w:rPr>
          <w:color w:val="000000"/>
          <w:sz w:val="24"/>
          <w:szCs w:val="24"/>
        </w:rPr>
        <w:t xml:space="preserve">In this study, we attempt to draw such a framework of interpretation by outlining a test consisting of multiple elements which is suitable for the delimitation of the achievements of the historical constitution, i.e. the results of past legal development which may be of present use.</w:t>
      </w:r>
    </w:p>
    <w:p>
      <w:pPr>
        <w:pBdr/>
        <w:spacing w:before="240" w:after="240" w:line="240" w:lineRule="auto"/>
        <w:ind w:left="0" w:right="0"/>
        <w:jc w:val="left"/>
      </w:pPr>
      <w:r>
        <w:rPr>
          <w:color w:val="000000"/>
          <w:sz w:val="24"/>
          <w:szCs w:val="24"/>
        </w:rPr>
        <w:t xml:space="preserve">The Hungarian legal scholarship has examined the historical constitution for a long time, but its achievements have not yet been defined; first, we thus need to outline this logical process. It is essentially the task of the Constitutional Court to interpret article R) para. (3).</w:t>
      </w:r>
    </w:p>
    <w:p>
      <w:pPr>
        <w:pBdr/>
        <w:spacing w:before="240" w:after="240" w:line="240" w:lineRule="auto"/>
        <w:ind w:left="0" w:right="0"/>
        <w:jc w:val="left"/>
      </w:pPr>
      <w:r>
        <w:rPr>
          <w:color w:val="000000"/>
          <w:sz w:val="24"/>
          <w:szCs w:val="24"/>
        </w:rPr>
        <w:t xml:space="preserve">The clarification of the details is therefore still ahead of us.</w:t>
      </w:r>
    </w:p>
    <w:p>
      <w:pPr>
        <w:pBdr/>
        <w:spacing w:before="240" w:after="240" w:line="240" w:lineRule="auto"/>
        <w:ind w:left="0" w:right="0"/>
        <w:jc w:val="left"/>
      </w:pPr>
      <w:r>
        <w:rPr>
          <w:color w:val="000000"/>
          <w:sz w:val="24"/>
          <w:szCs w:val="24"/>
        </w:rPr>
        <w:t xml:space="preserve">We attempt to give an alternative for the application of a passage of the Fundamental Law and to contribute to the process by which a consistent and predictable practice of legal interpretation and application can be established in the future for the passage article R) para. (3). Our aim is not to present a theoretical framework but to create system of criteria which gives sufficient help for orientation in the legal tradition stretching over more than a thousand years. To this end, we first try to give tangible content to the concept “achievements of the historical constitution,” then – with the help of abstractions – outline a three-step system of criteria for identifying these achievements.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02498">
    <w:multiLevelType w:val="hybridMultilevel"/>
    <w:lvl w:ilvl="0" w:tplc="69991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02498">
    <w:abstractNumId w:val="16602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11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